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00"/>
      </w:tblGrid>
      <w:tr>
        <w:trPr>
          <w:trHeight w:val="16838" w:hRule="exact"/>
        </w:trPr>
        <w:tc>
          <w:tcPr>
            <w:tcBorders>
              <w:top w:val="none" w:color="FFFFFF" w:sz="0"/>
              <w:left w:val="none" w:color="FFFFFF" w:sz="0"/>
              <w:bottom w:val="none" w:color="FFFFFF" w:sz="0"/>
              <w:right w:val="none" w:color="FFFFFF" w:sz="0"/>
            </w:tcBorders>
            <w:shd w:fill="F7FAFF" w:val="clear"/>
          </w:tcPr>
          <w:p>
            <w:pPr>
              <w:pBdr>
                <w:top w:val="single" w:color="1677FF" w:sz="18" w:space="20"/>
              </w:pBdr>
              <w:spacing w:after="200" w:before="1200"/>
              <w:ind w:left="1000" w:right="1000"/>
            </w:pPr>
          </w:p>
          <w:p>
            <w:pPr>
              <w:spacing w:before="1800"/>
            </w:pPr>
          </w:p>
          <w:p>
            <w:pPr>
              <w:spacing w:after="500"/>
              <w:jc w:val="center"/>
            </w:pPr>
            <w:r>
              <w:rPr>
                <w:rFonts w:ascii="Calibri"/>
                <w:color w:val="1677FF"/>
                <w:spacing w:val="40"/>
                <w:sz w:val="18"/>
                <w:szCs w:val="18"/>
              </w:rPr>
              <w:t xml:space="preserve">Q  Z  T     W  H  I  T  E  P  A  P  E  R</w:t>
            </w:r>
          </w:p>
          <w:p>
            <w:pPr>
              <w:spacing w:after="300" w:line="920" w:lineRule="atLeast"/>
              <w:jc w:val="center"/>
            </w:pPr>
            <w:r>
              <w:rPr>
                <w:rFonts w:ascii="Arial" w:eastAsia="SimHei"/>
                <w:b/>
                <w:bCs/>
                <w:color w:val="0E42D2"/>
                <w:sz w:val="80"/>
                <w:szCs w:val="80"/>
              </w:rPr>
              <w:t xml:space="preserve">企智通企业业务管理平台</w:t>
            </w:r>
          </w:p>
          <w:p>
            <w:pPr>
              <w:spacing w:after="400"/>
              <w:jc w:val="center"/>
            </w:pPr>
            <w:r>
              <w:rPr>
                <w:rFonts w:ascii="Arial" w:eastAsia="Microsoft YaHei"/>
                <w:color w:val="44546E"/>
                <w:sz w:val="24"/>
                <w:szCs w:val="24"/>
              </w:rPr>
              <w:t xml:space="preserve">产品白皮书 · 开源一体化 · 私有化部署 · AI 原生</w:t>
            </w:r>
          </w:p>
          <w:p>
            <w:pPr>
              <w:spacing w:before="1200"/>
            </w:pPr>
          </w:p>
          <w:p>
            <w:pPr>
              <w:spacing w:after="100" w:line="414" w:lineRule="atLeast"/>
              <w:jc w:val="center"/>
            </w:pPr>
            <w:r>
              <w:rPr>
                <w:rFonts w:ascii="Arial" w:eastAsia="Microsoft YaHei"/>
                <w:color w:val="3D4A5C"/>
                <w:sz w:val="36"/>
                <w:szCs w:val="36"/>
              </w:rPr>
              <w:t xml:space="preserve">版本 V1.1（软件 v1.1.0）</w:t>
            </w:r>
          </w:p>
          <w:p>
            <w:pPr>
              <w:spacing w:after="100" w:line="414" w:lineRule="atLeast"/>
              <w:jc w:val="center"/>
            </w:pPr>
            <w:r>
              <w:rPr>
                <w:rFonts w:ascii="Arial" w:eastAsia="Microsoft YaHei"/>
                <w:color w:val="3D4A5C"/>
                <w:sz w:val="36"/>
                <w:szCs w:val="36"/>
              </w:rPr>
              <w:t xml:space="preserve">发布日期：2026 年 9 月</w:t>
            </w:r>
          </w:p>
          <w:p>
            <w:pPr>
              <w:spacing w:after="100" w:line="414" w:lineRule="atLeast"/>
              <w:jc w:val="center"/>
            </w:pPr>
            <w:r>
              <w:rPr>
                <w:rFonts w:ascii="Arial" w:eastAsia="Microsoft YaHei"/>
                <w:color w:val="3D4A5C"/>
                <w:sz w:val="36"/>
                <w:szCs w:val="36"/>
              </w:rPr>
              <w:t xml:space="preserve">河南爱编程网络科技有限公司</w:t>
            </w:r>
          </w:p>
          <w:p>
            <w:pPr>
              <w:spacing w:before="2000"/>
            </w:pPr>
          </w:p>
          <w:p>
            <w:pPr>
              <w:pBdr>
                <w:bottom w:val="single" w:color="1677FF" w:sz="18" w:space="20"/>
              </w:pBdr>
              <w:spacing w:before="200"/>
              <w:ind w:left="1000" w:right="1000"/>
              <w:jc w:val="center"/>
            </w:pPr>
            <w:r>
              <w:rPr>
                <w:rFonts w:ascii="Arial"/>
                <w:color w:val="8A94A6"/>
                <w:sz w:val="18"/>
                <w:szCs w:val="18"/>
              </w:rPr>
              <w:t xml:space="preserve">devlovecode.com · github.com/Gyv12345/qzt</w:t>
            </w:r>
          </w:p>
        </w:tc>
      </w:tr>
    </w:tbl>
    <w:p>
      <w:pPr>
        <w:sectPr>
          <w:pgSz w:w="11906" w:h="16838" w:orient="portrait"/>
          <w:pgMar w:top="0" w:right="0" w:bottom="0" w:left="0" w:header="708" w:footer="708" w:gutter="0"/>
          <w:docGrid w:linePitch="360"/>
        </w:sectPr>
      </w:pPr>
    </w:p>
    <w:p>
      <w:pPr>
        <w:spacing w:after="360" w:before="480"/>
        <w:jc w:val="center"/>
      </w:pPr>
      <w:r>
        <w:rPr>
          <w:rFonts w:ascii="Times New Roman" w:eastAsia="SimHei"/>
          <w:b/>
          <w:bCs/>
          <w:color w:val="0E42D2"/>
          <w:sz w:val="32"/>
          <w:szCs w:val="32"/>
        </w:rPr>
        <w:t xml:space="preserve">目　录</w:t>
      </w:r>
    </w:p>
    <w:sdt>
      <w:sdtPr>
        <w:alias w:val="Table of Contents"/>
      </w:sdtPr>
      <w:sdtContent>
        <w:p>
          <w:r>
            <w:fldChar w:fldCharType="begin" w:dirty="true"/>
          </w:r>
          <w:r>
            <w:instrText xml:space="preserve">TOC \h \o "1-2"</w:instrText>
          </w:r>
          <w:r>
            <w:fldChar w:fldCharType="separate"/>
          </w:r>
        </w:p>
        <w:p>
          <w:pPr>
            <w:pStyle w:val="9"/>
            <w:tabs>
              <w:tab w:val="right" w:leader="dot" w:pos="9026"/>
            </w:tabs>
            <w:spacing w:before="120" w:after="60"/>
          </w:pPr>
          <w:hyperlink w:anchor="_Toc100000" w:history="1">
            <w:r>
              <w:rPr>
                <w:rStyle w:val="Hyperlink"/>
              </w:rPr>
              <w:t>摘　要</w:t>
            </w:r>
            <w:r>
              <w:tab/>
            </w:r>
            <w:r>
              <w:fldChar w:fldCharType="begin"/>
            </w:r>
            <w:r>
              <w:instrText xml:space="preserve"> PAGEREF _Toc100000 \h </w:instrText>
            </w:r>
            <w:r>
              <w:fldChar w:fldCharType="separate"/>
            </w:r>
            <w:r>
              <w:t>1</w:t>
            </w:r>
            <w:r>
              <w:fldChar w:fldCharType="end"/>
            </w:r>
          </w:hyperlink>
        </w:p>
        <w:p>
          <w:pPr>
            <w:pStyle w:val="9"/>
            <w:tabs>
              <w:tab w:val="right" w:leader="dot" w:pos="9026"/>
            </w:tabs>
            <w:spacing w:before="120" w:after="60"/>
          </w:pPr>
          <w:hyperlink w:anchor="_Toc100001" w:history="1">
            <w:r>
              <w:rPr>
                <w:rStyle w:val="Hyperlink"/>
              </w:rPr>
              <w:t>1　行业背景：中小企业管理数字化的三重困境</w:t>
            </w:r>
            <w:r>
              <w:tab/>
            </w:r>
            <w:r>
              <w:fldChar w:fldCharType="begin"/>
            </w:r>
            <w:r>
              <w:instrText xml:space="preserve"> PAGEREF _Toc100001 \h </w:instrText>
            </w:r>
            <w:r>
              <w:fldChar w:fldCharType="separate"/>
            </w:r>
            <w:r>
              <w:t>1</w:t>
            </w:r>
            <w:r>
              <w:fldChar w:fldCharType="end"/>
            </w:r>
          </w:hyperlink>
        </w:p>
        <w:p>
          <w:pPr>
            <w:pStyle w:val="11"/>
            <w:ind w:left="360"/>
            <w:tabs>
              <w:tab w:val="right" w:leader="dot" w:pos="9026"/>
            </w:tabs>
            <w:spacing w:before="120" w:after="60"/>
          </w:pPr>
          <w:hyperlink w:anchor="_Toc100002" w:history="1">
            <w:r>
              <w:rPr>
                <w:rStyle w:val="Hyperlink"/>
              </w:rPr>
              <w:t>1.1　系统割裂：数据散落在互不连通的工具里</w:t>
            </w:r>
            <w:r>
              <w:tab/>
            </w:r>
            <w:r>
              <w:fldChar w:fldCharType="begin"/>
            </w:r>
            <w:r>
              <w:instrText xml:space="preserve"> PAGEREF _Toc100002 \h </w:instrText>
            </w:r>
            <w:r>
              <w:fldChar w:fldCharType="separate"/>
            </w:r>
            <w:r>
              <w:t>2</w:t>
            </w:r>
            <w:r>
              <w:fldChar w:fldCharType="end"/>
            </w:r>
          </w:hyperlink>
        </w:p>
        <w:p>
          <w:pPr>
            <w:pStyle w:val="11"/>
            <w:ind w:left="360"/>
            <w:tabs>
              <w:tab w:val="right" w:leader="dot" w:pos="9026"/>
            </w:tabs>
            <w:spacing w:before="120" w:after="60"/>
          </w:pPr>
          <w:hyperlink w:anchor="_Toc100003" w:history="1">
            <w:r>
              <w:rPr>
                <w:rStyle w:val="Hyperlink"/>
              </w:rPr>
              <w:t>1.2　数据不自主：SaaS 订阅的隐性成本</w:t>
            </w:r>
            <w:r>
              <w:tab/>
            </w:r>
            <w:r>
              <w:fldChar w:fldCharType="begin"/>
            </w:r>
            <w:r>
              <w:instrText xml:space="preserve"> PAGEREF _Toc100003 \h </w:instrText>
            </w:r>
            <w:r>
              <w:fldChar w:fldCharType="separate"/>
            </w:r>
            <w:r>
              <w:t>2</w:t>
            </w:r>
            <w:r>
              <w:fldChar w:fldCharType="end"/>
            </w:r>
          </w:hyperlink>
        </w:p>
        <w:p>
          <w:pPr>
            <w:pStyle w:val="11"/>
            <w:ind w:left="360"/>
            <w:tabs>
              <w:tab w:val="right" w:leader="dot" w:pos="9026"/>
            </w:tabs>
            <w:spacing w:before="120" w:after="60"/>
          </w:pPr>
          <w:hyperlink w:anchor="_Toc100004" w:history="1">
            <w:r>
              <w:rPr>
                <w:rStyle w:val="Hyperlink"/>
              </w:rPr>
              <w:t>1.3　定制贵、上手难：两头的方案都够不着</w:t>
            </w:r>
            <w:r>
              <w:tab/>
            </w:r>
            <w:r>
              <w:fldChar w:fldCharType="begin"/>
            </w:r>
            <w:r>
              <w:instrText xml:space="preserve"> PAGEREF _Toc100004 \h </w:instrText>
            </w:r>
            <w:r>
              <w:fldChar w:fldCharType="separate"/>
            </w:r>
            <w:r>
              <w:t>2</w:t>
            </w:r>
            <w:r>
              <w:fldChar w:fldCharType="end"/>
            </w:r>
          </w:hyperlink>
        </w:p>
        <w:p>
          <w:pPr>
            <w:pStyle w:val="9"/>
            <w:tabs>
              <w:tab w:val="right" w:leader="dot" w:pos="9026"/>
            </w:tabs>
            <w:spacing w:before="120" w:after="60"/>
          </w:pPr>
          <w:hyperlink w:anchor="_Toc100005" w:history="1">
            <w:r>
              <w:rPr>
                <w:rStyle w:val="Hyperlink"/>
              </w:rPr>
              <w:t>2　产品概述</w:t>
            </w:r>
            <w:r>
              <w:tab/>
            </w:r>
            <w:r>
              <w:fldChar w:fldCharType="begin"/>
            </w:r>
            <w:r>
              <w:instrText xml:space="preserve"> PAGEREF _Toc100005 \h </w:instrText>
            </w:r>
            <w:r>
              <w:fldChar w:fldCharType="separate"/>
            </w:r>
            <w:r>
              <w:t>2</w:t>
            </w:r>
            <w:r>
              <w:fldChar w:fldCharType="end"/>
            </w:r>
          </w:hyperlink>
        </w:p>
        <w:p>
          <w:pPr>
            <w:pStyle w:val="11"/>
            <w:ind w:left="360"/>
            <w:tabs>
              <w:tab w:val="right" w:leader="dot" w:pos="9026"/>
            </w:tabs>
            <w:spacing w:before="120" w:after="60"/>
          </w:pPr>
          <w:hyperlink w:anchor="_Toc100006" w:history="1">
            <w:r>
              <w:rPr>
                <w:rStyle w:val="Hyperlink"/>
              </w:rPr>
              <w:t>2.1　产品定位</w:t>
            </w:r>
            <w:r>
              <w:tab/>
            </w:r>
            <w:r>
              <w:fldChar w:fldCharType="begin"/>
            </w:r>
            <w:r>
              <w:instrText xml:space="preserve"> PAGEREF _Toc100006 \h </w:instrText>
            </w:r>
            <w:r>
              <w:fldChar w:fldCharType="separate"/>
            </w:r>
            <w:r>
              <w:t>2</w:t>
            </w:r>
            <w:r>
              <w:fldChar w:fldCharType="end"/>
            </w:r>
          </w:hyperlink>
        </w:p>
        <w:p>
          <w:pPr>
            <w:pStyle w:val="11"/>
            <w:ind w:left="360"/>
            <w:tabs>
              <w:tab w:val="right" w:leader="dot" w:pos="9026"/>
            </w:tabs>
            <w:spacing w:before="120" w:after="60"/>
          </w:pPr>
          <w:hyperlink w:anchor="_Toc100007" w:history="1">
            <w:r>
              <w:rPr>
                <w:rStyle w:val="Hyperlink"/>
              </w:rPr>
              <w:t>2.2　关键数字</w:t>
            </w:r>
            <w:r>
              <w:tab/>
            </w:r>
            <w:r>
              <w:fldChar w:fldCharType="begin"/>
            </w:r>
            <w:r>
              <w:instrText xml:space="preserve"> PAGEREF _Toc100007 \h </w:instrText>
            </w:r>
            <w:r>
              <w:fldChar w:fldCharType="separate"/>
            </w:r>
            <w:r>
              <w:t>3</w:t>
            </w:r>
            <w:r>
              <w:fldChar w:fldCharType="end"/>
            </w:r>
          </w:hyperlink>
        </w:p>
        <w:p>
          <w:pPr>
            <w:pStyle w:val="11"/>
            <w:ind w:left="360"/>
            <w:tabs>
              <w:tab w:val="right" w:leader="dot" w:pos="9026"/>
            </w:tabs>
            <w:spacing w:before="120" w:after="60"/>
          </w:pPr>
          <w:hyperlink w:anchor="_Toc100008" w:history="1">
            <w:r>
              <w:rPr>
                <w:rStyle w:val="Hyperlink"/>
              </w:rPr>
              <w:t>2.3　版本与开放性</w:t>
            </w:r>
            <w:r>
              <w:tab/>
            </w:r>
            <w:r>
              <w:fldChar w:fldCharType="begin"/>
            </w:r>
            <w:r>
              <w:instrText xml:space="preserve"> PAGEREF _Toc100008 \h </w:instrText>
            </w:r>
            <w:r>
              <w:fldChar w:fldCharType="separate"/>
            </w:r>
            <w:r>
              <w:t>3</w:t>
            </w:r>
            <w:r>
              <w:fldChar w:fldCharType="end"/>
            </w:r>
          </w:hyperlink>
        </w:p>
        <w:p>
          <w:pPr>
            <w:pStyle w:val="9"/>
            <w:tabs>
              <w:tab w:val="right" w:leader="dot" w:pos="9026"/>
            </w:tabs>
            <w:spacing w:before="120" w:after="60"/>
          </w:pPr>
          <w:hyperlink w:anchor="_Toc100009" w:history="1">
            <w:r>
              <w:rPr>
                <w:rStyle w:val="Hyperlink"/>
              </w:rPr>
              <w:t>3　总体架构：一源多端</w:t>
            </w:r>
            <w:r>
              <w:tab/>
            </w:r>
            <w:r>
              <w:fldChar w:fldCharType="begin"/>
            </w:r>
            <w:r>
              <w:instrText xml:space="preserve"> PAGEREF _Toc100009 \h </w:instrText>
            </w:r>
            <w:r>
              <w:fldChar w:fldCharType="separate"/>
            </w:r>
            <w:r>
              <w:t>4</w:t>
            </w:r>
            <w:r>
              <w:fldChar w:fldCharType="end"/>
            </w:r>
          </w:hyperlink>
        </w:p>
        <w:p>
          <w:pPr>
            <w:pStyle w:val="11"/>
            <w:ind w:left="360"/>
            <w:tabs>
              <w:tab w:val="right" w:leader="dot" w:pos="9026"/>
            </w:tabs>
            <w:spacing w:before="120" w:after="60"/>
          </w:pPr>
          <w:hyperlink w:anchor="_Toc100010" w:history="1">
            <w:r>
              <w:rPr>
                <w:rStyle w:val="Hyperlink"/>
              </w:rPr>
              <w:t>3.1　一套后端，支撑全部前端</w:t>
            </w:r>
            <w:r>
              <w:tab/>
            </w:r>
            <w:r>
              <w:fldChar w:fldCharType="begin"/>
            </w:r>
            <w:r>
              <w:instrText xml:space="preserve"> PAGEREF _Toc100010 \h </w:instrText>
            </w:r>
            <w:r>
              <w:fldChar w:fldCharType="separate"/>
            </w:r>
            <w:r>
              <w:t>4</w:t>
            </w:r>
            <w:r>
              <w:fldChar w:fldCharType="end"/>
            </w:r>
          </w:hyperlink>
        </w:p>
        <w:p>
          <w:pPr>
            <w:pStyle w:val="11"/>
            <w:ind w:left="360"/>
            <w:tabs>
              <w:tab w:val="right" w:leader="dot" w:pos="9026"/>
            </w:tabs>
            <w:spacing w:before="120" w:after="60"/>
          </w:pPr>
          <w:hyperlink w:anchor="_Toc100011" w:history="1">
            <w:r>
              <w:rPr>
                <w:rStyle w:val="Hyperlink"/>
              </w:rPr>
              <w:t>3.2　后端技术架构</w:t>
            </w:r>
            <w:r>
              <w:tab/>
            </w:r>
            <w:r>
              <w:fldChar w:fldCharType="begin"/>
            </w:r>
            <w:r>
              <w:instrText xml:space="preserve"> PAGEREF _Toc100011 \h </w:instrText>
            </w:r>
            <w:r>
              <w:fldChar w:fldCharType="separate"/>
            </w:r>
            <w:r>
              <w:t>4</w:t>
            </w:r>
            <w:r>
              <w:fldChar w:fldCharType="end"/>
            </w:r>
          </w:hyperlink>
        </w:p>
        <w:p>
          <w:pPr>
            <w:pStyle w:val="11"/>
            <w:ind w:left="360"/>
            <w:tabs>
              <w:tab w:val="right" w:leader="dot" w:pos="9026"/>
            </w:tabs>
            <w:spacing w:before="120" w:after="60"/>
          </w:pPr>
          <w:hyperlink w:anchor="_Toc100012" w:history="1">
            <w:r>
              <w:rPr>
                <w:rStyle w:val="Hyperlink"/>
              </w:rPr>
              <w:t>3.3　业务联动：数据一次录入、全链路贯通</w:t>
            </w:r>
            <w:r>
              <w:tab/>
            </w:r>
            <w:r>
              <w:fldChar w:fldCharType="begin"/>
            </w:r>
            <w:r>
              <w:instrText xml:space="preserve"> PAGEREF _Toc100012 \h </w:instrText>
            </w:r>
            <w:r>
              <w:fldChar w:fldCharType="separate"/>
            </w:r>
            <w:r>
              <w:t>4</w:t>
            </w:r>
            <w:r>
              <w:fldChar w:fldCharType="end"/>
            </w:r>
          </w:hyperlink>
        </w:p>
        <w:p>
          <w:pPr>
            <w:pStyle w:val="9"/>
            <w:tabs>
              <w:tab w:val="right" w:leader="dot" w:pos="9026"/>
            </w:tabs>
            <w:spacing w:before="120" w:after="60"/>
          </w:pPr>
          <w:hyperlink w:anchor="_Toc100013" w:history="1">
            <w:r>
              <w:rPr>
                <w:rStyle w:val="Hyperlink"/>
              </w:rPr>
              <w:t>4　功能版图</w:t>
            </w:r>
            <w:r>
              <w:tab/>
            </w:r>
            <w:r>
              <w:fldChar w:fldCharType="begin"/>
            </w:r>
            <w:r>
              <w:instrText xml:space="preserve"> PAGEREF _Toc100013 \h </w:instrText>
            </w:r>
            <w:r>
              <w:fldChar w:fldCharType="separate"/>
            </w:r>
            <w:r>
              <w:t>5</w:t>
            </w:r>
            <w:r>
              <w:fldChar w:fldCharType="end"/>
            </w:r>
          </w:hyperlink>
        </w:p>
        <w:p>
          <w:pPr>
            <w:pStyle w:val="11"/>
            <w:ind w:left="360"/>
            <w:tabs>
              <w:tab w:val="right" w:leader="dot" w:pos="9026"/>
            </w:tabs>
            <w:spacing w:before="120" w:after="60"/>
          </w:pPr>
          <w:hyperlink w:anchor="_Toc100014" w:history="1">
            <w:r>
              <w:rPr>
                <w:rStyle w:val="Hyperlink"/>
              </w:rPr>
              <w:t>4.1　客户关系管理（CRM）</w:t>
            </w:r>
            <w:r>
              <w:tab/>
            </w:r>
            <w:r>
              <w:fldChar w:fldCharType="begin"/>
            </w:r>
            <w:r>
              <w:instrText xml:space="preserve"> PAGEREF _Toc100014 \h </w:instrText>
            </w:r>
            <w:r>
              <w:fldChar w:fldCharType="separate"/>
            </w:r>
            <w:r>
              <w:t>5</w:t>
            </w:r>
            <w:r>
              <w:fldChar w:fldCharType="end"/>
            </w:r>
          </w:hyperlink>
        </w:p>
        <w:p>
          <w:pPr>
            <w:pStyle w:val="11"/>
            <w:ind w:left="360"/>
            <w:tabs>
              <w:tab w:val="right" w:leader="dot" w:pos="9026"/>
            </w:tabs>
            <w:spacing w:before="120" w:after="60"/>
          </w:pPr>
          <w:hyperlink w:anchor="_Toc100015" w:history="1">
            <w:r>
              <w:rPr>
                <w:rStyle w:val="Hyperlink"/>
              </w:rPr>
              <w:t>4.2　进销存（PSI）</w:t>
            </w:r>
            <w:r>
              <w:tab/>
            </w:r>
            <w:r>
              <w:fldChar w:fldCharType="begin"/>
            </w:r>
            <w:r>
              <w:instrText xml:space="preserve"> PAGEREF _Toc100015 \h </w:instrText>
            </w:r>
            <w:r>
              <w:fldChar w:fldCharType="separate"/>
            </w:r>
            <w:r>
              <w:t>5</w:t>
            </w:r>
            <w:r>
              <w:fldChar w:fldCharType="end"/>
            </w:r>
          </w:hyperlink>
        </w:p>
        <w:p>
          <w:pPr>
            <w:pStyle w:val="11"/>
            <w:ind w:left="360"/>
            <w:tabs>
              <w:tab w:val="right" w:leader="dot" w:pos="9026"/>
            </w:tabs>
            <w:spacing w:before="120" w:after="60"/>
          </w:pPr>
          <w:hyperlink w:anchor="_Toc100016" w:history="1">
            <w:r>
              <w:rPr>
                <w:rStyle w:val="Hyperlink"/>
              </w:rPr>
              <w:t>4.3　财务管理</w:t>
            </w:r>
            <w:r>
              <w:tab/>
            </w:r>
            <w:r>
              <w:fldChar w:fldCharType="begin"/>
            </w:r>
            <w:r>
              <w:instrText xml:space="preserve"> PAGEREF _Toc100016 \h </w:instrText>
            </w:r>
            <w:r>
              <w:fldChar w:fldCharType="separate"/>
            </w:r>
            <w:r>
              <w:t>5</w:t>
            </w:r>
            <w:r>
              <w:fldChar w:fldCharType="end"/>
            </w:r>
          </w:hyperlink>
        </w:p>
        <w:p>
          <w:pPr>
            <w:pStyle w:val="11"/>
            <w:ind w:left="360"/>
            <w:tabs>
              <w:tab w:val="right" w:leader="dot" w:pos="9026"/>
            </w:tabs>
            <w:spacing w:before="120" w:after="60"/>
          </w:pPr>
          <w:hyperlink w:anchor="_Toc100017" w:history="1">
            <w:r>
              <w:rPr>
                <w:rStyle w:val="Hyperlink"/>
              </w:rPr>
              <w:t>4.4　办公协同（OA）与审批中心</w:t>
            </w:r>
            <w:r>
              <w:tab/>
            </w:r>
            <w:r>
              <w:fldChar w:fldCharType="begin"/>
            </w:r>
            <w:r>
              <w:instrText xml:space="preserve"> PAGEREF _Toc100017 \h </w:instrText>
            </w:r>
            <w:r>
              <w:fldChar w:fldCharType="separate"/>
            </w:r>
            <w:r>
              <w:t>6</w:t>
            </w:r>
            <w:r>
              <w:fldChar w:fldCharType="end"/>
            </w:r>
          </w:hyperlink>
        </w:p>
        <w:p>
          <w:pPr>
            <w:pStyle w:val="11"/>
            <w:ind w:left="360"/>
            <w:tabs>
              <w:tab w:val="right" w:leader="dot" w:pos="9026"/>
            </w:tabs>
            <w:spacing w:before="120" w:after="60"/>
          </w:pPr>
          <w:hyperlink w:anchor="_Toc100018" w:history="1">
            <w:r>
              <w:rPr>
                <w:rStyle w:val="Hyperlink"/>
              </w:rPr>
              <w:t>4.5　人事管理（HRM）</w:t>
            </w:r>
            <w:r>
              <w:tab/>
            </w:r>
            <w:r>
              <w:fldChar w:fldCharType="begin"/>
            </w:r>
            <w:r>
              <w:instrText xml:space="preserve"> PAGEREF _Toc100018 \h </w:instrText>
            </w:r>
            <w:r>
              <w:fldChar w:fldCharType="separate"/>
            </w:r>
            <w:r>
              <w:t>6</w:t>
            </w:r>
            <w:r>
              <w:fldChar w:fldCharType="end"/>
            </w:r>
          </w:hyperlink>
        </w:p>
        <w:p>
          <w:pPr>
            <w:pStyle w:val="11"/>
            <w:ind w:left="360"/>
            <w:tabs>
              <w:tab w:val="right" w:leader="dot" w:pos="9026"/>
            </w:tabs>
            <w:spacing w:before="120" w:after="60"/>
          </w:pPr>
          <w:hyperlink w:anchor="_Toc100019" w:history="1">
            <w:r>
              <w:rPr>
                <w:rStyle w:val="Hyperlink"/>
              </w:rPr>
              <w:t>4.6　项目 · 知识库 · 企业网盘</w:t>
            </w:r>
            <w:r>
              <w:tab/>
            </w:r>
            <w:r>
              <w:fldChar w:fldCharType="begin"/>
            </w:r>
            <w:r>
              <w:instrText xml:space="preserve"> PAGEREF _Toc100019 \h </w:instrText>
            </w:r>
            <w:r>
              <w:fldChar w:fldCharType="separate"/>
            </w:r>
            <w:r>
              <w:t>7</w:t>
            </w:r>
            <w:r>
              <w:fldChar w:fldCharType="end"/>
            </w:r>
          </w:hyperlink>
        </w:p>
        <w:p>
          <w:pPr>
            <w:pStyle w:val="11"/>
            <w:ind w:left="360"/>
            <w:tabs>
              <w:tab w:val="right" w:leader="dot" w:pos="9026"/>
            </w:tabs>
            <w:spacing w:before="120" w:after="60"/>
          </w:pPr>
          <w:hyperlink w:anchor="_Toc100020" w:history="1">
            <w:r>
              <w:rPr>
                <w:rStyle w:val="Hyperlink"/>
              </w:rPr>
              <w:t>4.7　营销获客 · 公开商城 · 企业官网</w:t>
            </w:r>
            <w:r>
              <w:tab/>
            </w:r>
            <w:r>
              <w:fldChar w:fldCharType="begin"/>
            </w:r>
            <w:r>
              <w:instrText xml:space="preserve"> PAGEREF _Toc100020 \h </w:instrText>
            </w:r>
            <w:r>
              <w:fldChar w:fldCharType="separate"/>
            </w:r>
            <w:r>
              <w:t>7</w:t>
            </w:r>
            <w:r>
              <w:fldChar w:fldCharType="end"/>
            </w:r>
          </w:hyperlink>
        </w:p>
        <w:p>
          <w:pPr>
            <w:pStyle w:val="11"/>
            <w:ind w:left="360"/>
            <w:tabs>
              <w:tab w:val="right" w:leader="dot" w:pos="9026"/>
            </w:tabs>
            <w:spacing w:before="120" w:after="60"/>
          </w:pPr>
          <w:hyperlink w:anchor="_Toc100021" w:history="1">
            <w:r>
              <w:rPr>
                <w:rStyle w:val="Hyperlink"/>
              </w:rPr>
              <w:t>4.8　模块自动联动一览</w:t>
            </w:r>
            <w:r>
              <w:tab/>
            </w:r>
            <w:r>
              <w:fldChar w:fldCharType="begin"/>
            </w:r>
            <w:r>
              <w:instrText xml:space="preserve"> PAGEREF _Toc100021 \h </w:instrText>
            </w:r>
            <w:r>
              <w:fldChar w:fldCharType="separate"/>
            </w:r>
            <w:r>
              <w:t>7</w:t>
            </w:r>
            <w:r>
              <w:fldChar w:fldCharType="end"/>
            </w:r>
          </w:hyperlink>
        </w:p>
        <w:p>
          <w:pPr>
            <w:pStyle w:val="9"/>
            <w:tabs>
              <w:tab w:val="right" w:leader="dot" w:pos="9026"/>
            </w:tabs>
            <w:spacing w:before="120" w:after="60"/>
          </w:pPr>
          <w:hyperlink w:anchor="_Toc100022" w:history="1">
            <w:r>
              <w:rPr>
                <w:rStyle w:val="Hyperlink"/>
              </w:rPr>
              <w:t>5　AI 能力：AI 可直接操作的业务系统</w:t>
            </w:r>
            <w:r>
              <w:tab/>
            </w:r>
            <w:r>
              <w:fldChar w:fldCharType="begin"/>
            </w:r>
            <w:r>
              <w:instrText xml:space="preserve"> PAGEREF _Toc100022 \h </w:instrText>
            </w:r>
            <w:r>
              <w:fldChar w:fldCharType="separate"/>
            </w:r>
            <w:r>
              <w:t>8</w:t>
            </w:r>
            <w:r>
              <w:fldChar w:fldCharType="end"/>
            </w:r>
          </w:hyperlink>
        </w:p>
        <w:p>
          <w:pPr>
            <w:pStyle w:val="11"/>
            <w:ind w:left="360"/>
            <w:tabs>
              <w:tab w:val="right" w:leader="dot" w:pos="9026"/>
            </w:tabs>
            <w:spacing w:before="120" w:after="60"/>
          </w:pPr>
          <w:hyperlink w:anchor="_Toc100023" w:history="1">
            <w:r>
              <w:rPr>
                <w:rStyle w:val="Hyperlink"/>
              </w:rPr>
              <w:t>5.1　为什么是 MCP</w:t>
            </w:r>
            <w:r>
              <w:tab/>
            </w:r>
            <w:r>
              <w:fldChar w:fldCharType="begin"/>
            </w:r>
            <w:r>
              <w:instrText xml:space="preserve"> PAGEREF _Toc100023 \h </w:instrText>
            </w:r>
            <w:r>
              <w:fldChar w:fldCharType="separate"/>
            </w:r>
            <w:r>
              <w:t>8</w:t>
            </w:r>
            <w:r>
              <w:fldChar w:fldCharType="end"/>
            </w:r>
          </w:hyperlink>
        </w:p>
        <w:p>
          <w:pPr>
            <w:pStyle w:val="11"/>
            <w:ind w:left="360"/>
            <w:tabs>
              <w:tab w:val="right" w:leader="dot" w:pos="9026"/>
            </w:tabs>
            <w:spacing w:before="120" w:after="60"/>
          </w:pPr>
          <w:hyperlink w:anchor="_Toc100024" w:history="1">
            <w:r>
              <w:rPr>
                <w:rStyle w:val="Hyperlink"/>
              </w:rPr>
              <w:t>5.2　三层安全防线</w:t>
            </w:r>
            <w:r>
              <w:tab/>
            </w:r>
            <w:r>
              <w:fldChar w:fldCharType="begin"/>
            </w:r>
            <w:r>
              <w:instrText xml:space="preserve"> PAGEREF _Toc100024 \h </w:instrText>
            </w:r>
            <w:r>
              <w:fldChar w:fldCharType="separate"/>
            </w:r>
            <w:r>
              <w:t>8</w:t>
            </w:r>
            <w:r>
              <w:fldChar w:fldCharType="end"/>
            </w:r>
          </w:hyperlink>
        </w:p>
        <w:p>
          <w:pPr>
            <w:pStyle w:val="9"/>
            <w:tabs>
              <w:tab w:val="right" w:leader="dot" w:pos="9026"/>
            </w:tabs>
            <w:spacing w:before="120" w:after="60"/>
          </w:pPr>
          <w:hyperlink w:anchor="_Toc100025" w:history="1">
            <w:r>
              <w:rPr>
                <w:rStyle w:val="Hyperlink"/>
              </w:rPr>
              <w:t>6　安全与权限体系</w:t>
            </w:r>
            <w:r>
              <w:tab/>
            </w:r>
            <w:r>
              <w:fldChar w:fldCharType="begin"/>
            </w:r>
            <w:r>
              <w:instrText xml:space="preserve"> PAGEREF _Toc100025 \h </w:instrText>
            </w:r>
            <w:r>
              <w:fldChar w:fldCharType="separate"/>
            </w:r>
            <w:r>
              <w:t>8</w:t>
            </w:r>
            <w:r>
              <w:fldChar w:fldCharType="end"/>
            </w:r>
          </w:hyperlink>
        </w:p>
        <w:p>
          <w:pPr>
            <w:pStyle w:val="11"/>
            <w:ind w:left="360"/>
            <w:tabs>
              <w:tab w:val="right" w:leader="dot" w:pos="9026"/>
            </w:tabs>
            <w:spacing w:before="120" w:after="60"/>
          </w:pPr>
          <w:hyperlink w:anchor="_Toc100026" w:history="1">
            <w:r>
              <w:rPr>
                <w:rStyle w:val="Hyperlink"/>
              </w:rPr>
              <w:t>6.1　功能权限：菜单、接口、按钮三级管控</w:t>
            </w:r>
            <w:r>
              <w:tab/>
            </w:r>
            <w:r>
              <w:fldChar w:fldCharType="begin"/>
            </w:r>
            <w:r>
              <w:instrText xml:space="preserve"> PAGEREF _Toc100026 \h </w:instrText>
            </w:r>
            <w:r>
              <w:fldChar w:fldCharType="separate"/>
            </w:r>
            <w:r>
              <w:t>8</w:t>
            </w:r>
            <w:r>
              <w:fldChar w:fldCharType="end"/>
            </w:r>
          </w:hyperlink>
        </w:p>
        <w:p>
          <w:pPr>
            <w:pStyle w:val="11"/>
            <w:ind w:left="360"/>
            <w:tabs>
              <w:tab w:val="right" w:leader="dot" w:pos="9026"/>
            </w:tabs>
            <w:spacing w:before="120" w:after="60"/>
          </w:pPr>
          <w:hyperlink w:anchor="_Toc100027" w:history="1">
            <w:r>
              <w:rPr>
                <w:rStyle w:val="Hyperlink"/>
              </w:rPr>
              <w:t>6.2　数据权限：五行级数据范围</w:t>
            </w:r>
            <w:r>
              <w:tab/>
            </w:r>
            <w:r>
              <w:fldChar w:fldCharType="begin"/>
            </w:r>
            <w:r>
              <w:instrText xml:space="preserve"> PAGEREF _Toc100027 \h </w:instrText>
            </w:r>
            <w:r>
              <w:fldChar w:fldCharType="separate"/>
            </w:r>
            <w:r>
              <w:t>9</w:t>
            </w:r>
            <w:r>
              <w:fldChar w:fldCharType="end"/>
            </w:r>
          </w:hyperlink>
        </w:p>
        <w:p>
          <w:pPr>
            <w:pStyle w:val="11"/>
            <w:ind w:left="360"/>
            <w:tabs>
              <w:tab w:val="right" w:leader="dot" w:pos="9026"/>
            </w:tabs>
            <w:spacing w:before="120" w:after="60"/>
          </w:pPr>
          <w:hyperlink w:anchor="_Toc100028" w:history="1">
            <w:r>
              <w:rPr>
                <w:rStyle w:val="Hyperlink"/>
              </w:rPr>
              <w:t>6.3　账号认证与审计</w:t>
            </w:r>
            <w:r>
              <w:tab/>
            </w:r>
            <w:r>
              <w:fldChar w:fldCharType="begin"/>
            </w:r>
            <w:r>
              <w:instrText xml:space="preserve"> PAGEREF _Toc100028 \h </w:instrText>
            </w:r>
            <w:r>
              <w:fldChar w:fldCharType="separate"/>
            </w:r>
            <w:r>
              <w:t>9</w:t>
            </w:r>
            <w:r>
              <w:fldChar w:fldCharType="end"/>
            </w:r>
          </w:hyperlink>
        </w:p>
        <w:p>
          <w:pPr>
            <w:pStyle w:val="9"/>
            <w:tabs>
              <w:tab w:val="right" w:leader="dot" w:pos="9026"/>
            </w:tabs>
            <w:spacing w:before="120" w:after="60"/>
          </w:pPr>
          <w:hyperlink w:anchor="_Toc100029" w:history="1">
            <w:r>
              <w:rPr>
                <w:rStyle w:val="Hyperlink"/>
              </w:rPr>
              <w:t>7　部署方案与运行环境</w:t>
            </w:r>
            <w:r>
              <w:tab/>
            </w:r>
            <w:r>
              <w:fldChar w:fldCharType="begin"/>
            </w:r>
            <w:r>
              <w:instrText xml:space="preserve"> PAGEREF _Toc100029 \h </w:instrText>
            </w:r>
            <w:r>
              <w:fldChar w:fldCharType="separate"/>
            </w:r>
            <w:r>
              <w:t>9</w:t>
            </w:r>
            <w:r>
              <w:fldChar w:fldCharType="end"/>
            </w:r>
          </w:hyperlink>
        </w:p>
        <w:p>
          <w:pPr>
            <w:pStyle w:val="11"/>
            <w:ind w:left="360"/>
            <w:tabs>
              <w:tab w:val="right" w:leader="dot" w:pos="9026"/>
            </w:tabs>
            <w:spacing w:before="120" w:after="60"/>
          </w:pPr>
          <w:hyperlink w:anchor="_Toc100030" w:history="1">
            <w:r>
              <w:rPr>
                <w:rStyle w:val="Hyperlink"/>
              </w:rPr>
              <w:t>7.1　部署形态</w:t>
            </w:r>
            <w:r>
              <w:tab/>
            </w:r>
            <w:r>
              <w:fldChar w:fldCharType="begin"/>
            </w:r>
            <w:r>
              <w:instrText xml:space="preserve"> PAGEREF _Toc100030 \h </w:instrText>
            </w:r>
            <w:r>
              <w:fldChar w:fldCharType="separate"/>
            </w:r>
            <w:r>
              <w:t>9</w:t>
            </w:r>
            <w:r>
              <w:fldChar w:fldCharType="end"/>
            </w:r>
          </w:hyperlink>
        </w:p>
        <w:p>
          <w:pPr>
            <w:pStyle w:val="11"/>
            <w:ind w:left="360"/>
            <w:tabs>
              <w:tab w:val="right" w:leader="dot" w:pos="9026"/>
            </w:tabs>
            <w:spacing w:before="120" w:after="60"/>
          </w:pPr>
          <w:hyperlink w:anchor="_Toc100031" w:history="1">
            <w:r>
              <w:rPr>
                <w:rStyle w:val="Hyperlink"/>
              </w:rPr>
              <w:t>7.2　环境要求</w:t>
            </w:r>
            <w:r>
              <w:tab/>
            </w:r>
            <w:r>
              <w:fldChar w:fldCharType="begin"/>
            </w:r>
            <w:r>
              <w:instrText xml:space="preserve"> PAGEREF _Toc100031 \h </w:instrText>
            </w:r>
            <w:r>
              <w:fldChar w:fldCharType="separate"/>
            </w:r>
            <w:r>
              <w:t>10</w:t>
            </w:r>
            <w:r>
              <w:fldChar w:fldCharType="end"/>
            </w:r>
          </w:hyperlink>
        </w:p>
        <w:p>
          <w:pPr>
            <w:pStyle w:val="11"/>
            <w:ind w:left="360"/>
            <w:tabs>
              <w:tab w:val="right" w:leader="dot" w:pos="9026"/>
            </w:tabs>
            <w:spacing w:before="120" w:after="60"/>
          </w:pPr>
          <w:hyperlink w:anchor="_Toc100032" w:history="1">
            <w:r>
              <w:rPr>
                <w:rStyle w:val="Hyperlink"/>
              </w:rPr>
              <w:t>7.3　升级与维护</w:t>
            </w:r>
            <w:r>
              <w:tab/>
            </w:r>
            <w:r>
              <w:fldChar w:fldCharType="begin"/>
            </w:r>
            <w:r>
              <w:instrText xml:space="preserve"> PAGEREF _Toc100032 \h </w:instrText>
            </w:r>
            <w:r>
              <w:fldChar w:fldCharType="separate"/>
            </w:r>
            <w:r>
              <w:t>10</w:t>
            </w:r>
            <w:r>
              <w:fldChar w:fldCharType="end"/>
            </w:r>
          </w:hyperlink>
        </w:p>
        <w:p>
          <w:pPr>
            <w:pStyle w:val="9"/>
            <w:tabs>
              <w:tab w:val="right" w:leader="dot" w:pos="9026"/>
            </w:tabs>
            <w:spacing w:before="120" w:after="60"/>
          </w:pPr>
          <w:hyperlink w:anchor="_Toc100033" w:history="1">
            <w:r>
              <w:rPr>
                <w:rStyle w:val="Hyperlink"/>
              </w:rPr>
              <w:t>8　服务体系与获取方式</w:t>
            </w:r>
            <w:r>
              <w:tab/>
            </w:r>
            <w:r>
              <w:fldChar w:fldCharType="begin"/>
            </w:r>
            <w:r>
              <w:instrText xml:space="preserve"> PAGEREF _Toc100033 \h </w:instrText>
            </w:r>
            <w:r>
              <w:fldChar w:fldCharType="separate"/>
            </w:r>
            <w:r>
              <w:t>10</w:t>
            </w:r>
            <w:r>
              <w:fldChar w:fldCharType="end"/>
            </w:r>
          </w:hyperlink>
        </w:p>
        <w:p>
          <w:pPr>
            <w:pStyle w:val="11"/>
            <w:ind w:left="360"/>
            <w:tabs>
              <w:tab w:val="right" w:leader="dot" w:pos="9026"/>
            </w:tabs>
            <w:spacing w:before="120" w:after="60"/>
          </w:pPr>
          <w:hyperlink w:anchor="_Toc100034" w:history="1">
            <w:r>
              <w:rPr>
                <w:rStyle w:val="Hyperlink"/>
              </w:rPr>
              <w:t>8.1　获取方式</w:t>
            </w:r>
            <w:r>
              <w:tab/>
            </w:r>
            <w:r>
              <w:fldChar w:fldCharType="begin"/>
            </w:r>
            <w:r>
              <w:instrText xml:space="preserve"> PAGEREF _Toc100034 \h </w:instrText>
            </w:r>
            <w:r>
              <w:fldChar w:fldCharType="separate"/>
            </w:r>
            <w:r>
              <w:t>10</w:t>
            </w:r>
            <w:r>
              <w:fldChar w:fldCharType="end"/>
            </w:r>
          </w:hyperlink>
        </w:p>
        <w:p>
          <w:pPr>
            <w:pStyle w:val="11"/>
            <w:ind w:left="360"/>
            <w:tabs>
              <w:tab w:val="right" w:leader="dot" w:pos="9026"/>
            </w:tabs>
            <w:spacing w:before="120" w:after="60"/>
          </w:pPr>
          <w:hyperlink w:anchor="_Toc100035" w:history="1">
            <w:r>
              <w:rPr>
                <w:rStyle w:val="Hyperlink"/>
              </w:rPr>
              <w:t>8.2　服务与价格</w:t>
            </w:r>
            <w:r>
              <w:tab/>
            </w:r>
            <w:r>
              <w:fldChar w:fldCharType="begin"/>
            </w:r>
            <w:r>
              <w:instrText xml:space="preserve"> PAGEREF _Toc100035 \h </w:instrText>
            </w:r>
            <w:r>
              <w:fldChar w:fldCharType="separate"/>
            </w:r>
            <w:r>
              <w:t>10</w:t>
            </w:r>
            <w:r>
              <w:fldChar w:fldCharType="end"/>
            </w:r>
          </w:hyperlink>
        </w:p>
        <w:p>
          <w:pPr>
            <w:pStyle w:val="11"/>
            <w:ind w:left="360"/>
            <w:tabs>
              <w:tab w:val="right" w:leader="dot" w:pos="9026"/>
            </w:tabs>
            <w:spacing w:before="120" w:after="60"/>
          </w:pPr>
          <w:hyperlink w:anchor="_Toc100036" w:history="1">
            <w:r>
              <w:rPr>
                <w:rStyle w:val="Hyperlink"/>
              </w:rPr>
              <w:t>8.3　适用场景</w:t>
            </w:r>
            <w:r>
              <w:tab/>
            </w:r>
            <w:r>
              <w:fldChar w:fldCharType="begin"/>
            </w:r>
            <w:r>
              <w:instrText xml:space="preserve"> PAGEREF _Toc100036 \h </w:instrText>
            </w:r>
            <w:r>
              <w:fldChar w:fldCharType="separate"/>
            </w:r>
            <w:r>
              <w:t>11</w:t>
            </w:r>
            <w:r>
              <w:fldChar w:fldCharType="end"/>
            </w:r>
          </w:hyperlink>
        </w:p>
        <w:p>
          <w:pPr>
            <w:pStyle w:val="9"/>
            <w:tabs>
              <w:tab w:val="right" w:leader="dot" w:pos="9026"/>
            </w:tabs>
            <w:spacing w:before="120" w:after="60"/>
          </w:pPr>
          <w:hyperlink w:anchor="_Toc100037" w:history="1">
            <w:r>
              <w:rPr>
                <w:rStyle w:val="Hyperlink"/>
              </w:rPr>
              <w:t>关于我们</w:t>
            </w:r>
            <w:r>
              <w:tab/>
            </w:r>
            <w:r>
              <w:fldChar w:fldCharType="begin"/>
            </w:r>
            <w:r>
              <w:instrText xml:space="preserve"> PAGEREF _Toc100037 \h </w:instrText>
            </w:r>
            <w:r>
              <w:fldChar w:fldCharType="separate"/>
            </w:r>
            <w:r>
              <w:t>11</w:t>
            </w:r>
            <w:r>
              <w:fldChar w:fldCharType="end"/>
            </w:r>
          </w:hyperlink>
        </w:p>
        <w:p>
          <w:r>
            <w:fldChar w:fldCharType="end"/>
          </w:r>
        </w:p>
      </w:sdtContent>
    </w:sdt>
    <w:p>
      <w:pPr>
        <w:spacing w:before="200"/>
      </w:pPr>
      <w:r>
        <w:rPr>
          <w:rFonts w:ascii="Calibri" w:eastAsia="Microsoft YaHei"/>
          <w:i/>
          <w:iCs/>
          <w:color w:val="888888"/>
          <w:sz w:val="18"/>
          <w:szCs w:val="18"/>
        </w:rPr>
        <w:t xml:space="preserve">注：本目录由域代码生成。编辑文档后如需刷新页码，请在目录上点击右键并选择「更新域」。</w:t>
      </w:r>
    </w:p>
    <w:p>
      <w:pPr>
        <w:sectPr>
          <w:footerReference w:type="default" r:id="rId7"/>
          <w:type w:val="nextPage"/>
          <w:pgSz w:w="11906" w:h="16838" w:orient="portrait"/>
          <w:pgMar w:top="1440" w:right="1417" w:bottom="1440" w:left="1701" w:header="708" w:footer="708" w:gutter="0"/>
          <w:pgNumType w:start="1" w:fmt="upperRoman"/>
          <w:docGrid w:linePitch="360"/>
        </w:sectPr>
      </w:pPr>
    </w:p>
    <w:p>
      <w:pPr>
        <w:pStyle w:val="Heading1"/>
        <w:spacing w:after="200" w:before="400" w:line="312"/>
      </w:pPr>
      <w:bookmarkStart w:id="100000" w:name="_Toc100000"/>
      <w:r>
        <w:rPr>
          <w:rFonts w:ascii="Calibri" w:eastAsia="SimHei"/>
          <w:b/>
          <w:bCs/>
          <w:color w:val="0E42D2"/>
          <w:sz w:val="32"/>
          <w:szCs w:val="32"/>
        </w:rPr>
        <w:t xml:space="preserve">摘　要</w:t>
      </w:r>
      <w:bookmarkEnd w:id="100000"/>
    </w:p>
    <w:p>
      <w:pPr>
        <w:spacing w:after="80" w:line="312"/>
        <w:ind w:firstLine="480"/>
        <w:jc w:val="both"/>
      </w:pPr>
      <w:r>
        <w:rPr>
          <w:rFonts w:ascii="Calibri" w:eastAsia="Microsoft YaHei"/>
          <w:color w:val="000000"/>
          <w:sz w:val="24"/>
          <w:szCs w:val="24"/>
        </w:rPr>
        <w:t xml:space="preserve">企智通（QZT）是一款面向中小企业的开源一体化业务管理平台，由河南爱编程网络科技有限公司开发，并以 MIT 协议在 GitHub 完整开源。平台以一套后端服务、一套数据库，同时支撑 PC 管理后台、移动端 H5、iOS 与 Android 原生 App、企业官网、公开商城等多类前端形态，覆盖客户关系管理（CRM）、进销存、财务、人事（HRM）、办公协同（OA）、审批中心、项目管理、知识库、企业网盘、营销获客、系统管理等业务域，并通过 MCP（Model Context Protocol）协议将 330 余个业务工具开放给 AI 助手直接调用，是一个「AI 可直接操作的业务系统」。</w:t>
      </w:r>
    </w:p>
    <w:p>
      <w:pPr>
        <w:spacing w:after="80" w:line="312"/>
        <w:ind w:firstLine="480"/>
        <w:jc w:val="both"/>
      </w:pPr>
      <w:r>
        <w:rPr>
          <w:rFonts w:ascii="Calibri" w:eastAsia="Microsoft YaHei"/>
          <w:color w:val="000000"/>
          <w:sz w:val="24"/>
          <w:szCs w:val="24"/>
        </w:rPr>
        <w:t xml:space="preserve">企智通支持完全私有化部署：企业既可以自行下载源码免费部署使用，也可以选择官方提供的交钥匙部署与二次开发服务。业务数据 100% 存储在企业自己的服务器与数据库中，数据资产完全归企业所有。本文从行业痛点、产品架构、功能版图、AI 能力、安全体系、部署方案与服务模式等方面，对企智通进行系统性介绍，供企业选型与管理者决策参考。</w:t>
      </w:r>
    </w:p>
    <w:p>
      <w:pPr>
        <w:pStyle w:val="Heading1"/>
        <w:spacing w:after="200" w:before="400" w:line="312"/>
      </w:pPr>
      <w:bookmarkStart w:id="100001" w:name="_Toc100001"/>
      <w:r>
        <w:rPr>
          <w:rFonts w:ascii="Calibri" w:eastAsia="SimHei"/>
          <w:b/>
          <w:bCs/>
          <w:color w:val="0E42D2"/>
          <w:sz w:val="32"/>
          <w:szCs w:val="32"/>
        </w:rPr>
        <w:t xml:space="preserve">1　行业背景：中小企业管理数字化的三重困境</w:t>
      </w:r>
      <w:bookmarkEnd w:id="100001"/>
    </w:p>
    <w:p>
      <w:pPr>
        <w:pStyle w:val="Heading2"/>
        <w:spacing w:after="140" w:before="280" w:line="312"/>
      </w:pPr>
      <w:bookmarkStart w:id="100002" w:name="_Toc100002"/>
      <w:r>
        <w:rPr>
          <w:rFonts w:ascii="Calibri" w:eastAsia="SimHei"/>
          <w:b/>
          <w:bCs/>
          <w:color w:val="0E42D2"/>
          <w:sz w:val="28"/>
          <w:szCs w:val="28"/>
        </w:rPr>
        <w:t xml:space="preserve">1.1　系统割裂：数据散落在互不连通的工具里</w:t>
      </w:r>
      <w:bookmarkEnd w:id="100002"/>
    </w:p>
    <w:p>
      <w:pPr>
        <w:spacing w:after="80" w:line="312"/>
        <w:ind w:firstLine="480"/>
        <w:jc w:val="both"/>
      </w:pPr>
      <w:r>
        <w:rPr>
          <w:rFonts w:ascii="Calibri" w:eastAsia="Microsoft YaHei"/>
          <w:color w:val="000000"/>
          <w:sz w:val="24"/>
          <w:szCs w:val="24"/>
        </w:rPr>
        <w:t xml:space="preserve">绝大多数中小企业并没有统一的业务系统：客户资料躺在销售人员的手机通讯录和微信里，库存台账是仓库里的一张 Excel 表，账目记在财务软件里，审批依赖聊天记录和口头确认，合同文件散落在各人的电脑中。同一条业务信息往往要在三四个工具里重复录入，跨部门对账靠人工导表核对，人员离职带来的资料流失更是常见损失。工具之间的割裂，使得企业无法形成一份完整、可信、可追溯的业务数据。</w:t>
      </w:r>
    </w:p>
    <w:p>
      <w:pPr>
        <w:pStyle w:val="Heading2"/>
        <w:spacing w:after="140" w:before="280" w:line="312"/>
      </w:pPr>
      <w:bookmarkStart w:id="100003" w:name="_Toc100003"/>
      <w:r>
        <w:rPr>
          <w:rFonts w:ascii="Calibri" w:eastAsia="SimHei"/>
          <w:b/>
          <w:bCs/>
          <w:color w:val="0E42D2"/>
          <w:sz w:val="28"/>
          <w:szCs w:val="28"/>
        </w:rPr>
        <w:t xml:space="preserve">1.2　数据不自主：SaaS 订阅的隐性成本</w:t>
      </w:r>
      <w:bookmarkEnd w:id="100003"/>
    </w:p>
    <w:p>
      <w:pPr>
        <w:spacing w:after="80" w:line="312"/>
        <w:ind w:firstLine="480"/>
        <w:jc w:val="both"/>
      </w:pPr>
      <w:r>
        <w:rPr>
          <w:rFonts w:ascii="Calibri" w:eastAsia="Microsoft YaHei"/>
          <w:color w:val="000000"/>
          <w:sz w:val="24"/>
          <w:szCs w:val="24"/>
        </w:rPr>
        <w:t xml:space="preserve">按人头计费的 SaaS 订阅模式，费用随团队规模逐年增长；核心业务数据存放在厂商云端，导出格式与数量常常受限，一旦停止续费，历史数据的使用便陷入被动。对于把客户、订单、库存、账目视为核心资产的中小企业而言，业务数据不受自己掌控，是选型时最大的顾虑。</w:t>
      </w:r>
    </w:p>
    <w:p>
      <w:pPr>
        <w:pStyle w:val="Heading2"/>
        <w:spacing w:after="140" w:before="280" w:line="312"/>
      </w:pPr>
      <w:bookmarkStart w:id="100004" w:name="_Toc100004"/>
      <w:r>
        <w:rPr>
          <w:rFonts w:ascii="Calibri" w:eastAsia="SimHei"/>
          <w:b/>
          <w:bCs/>
          <w:color w:val="0E42D2"/>
          <w:sz w:val="28"/>
          <w:szCs w:val="28"/>
        </w:rPr>
        <w:t xml:space="preserve">1.3　定制贵、上手难：两头的方案都够不着</w:t>
      </w:r>
      <w:bookmarkEnd w:id="100004"/>
    </w:p>
    <w:p>
      <w:pPr>
        <w:spacing w:after="80" w:line="312"/>
        <w:ind w:firstLine="480"/>
        <w:jc w:val="both"/>
      </w:pPr>
      <w:r>
        <w:rPr>
          <w:rFonts w:ascii="Calibri" w:eastAsia="Microsoft YaHei"/>
          <w:color w:val="000000"/>
          <w:sz w:val="24"/>
          <w:szCs w:val="24"/>
        </w:rPr>
        <w:t xml:space="preserve">大型 ERP 套件功能全面，但实施周期以月计、费用以十万计，远超中小团队承受能力；免费在线工具功能单一，彼此不通、无法二次开发；自建技术团队则意味着持续的高额人力成本。中小企业真正需要的，是一套开箱即用、模块齐全、可以私有化部署、必要时还能按自己业务定制的系统。企智通正是针对这一需求设计。</w:t>
      </w:r>
    </w:p>
    <w:p>
      <w:pPr>
        <w:pStyle w:val="Heading1"/>
        <w:spacing w:after="200" w:before="400" w:line="312"/>
      </w:pPr>
      <w:bookmarkStart w:id="100005" w:name="_Toc100005"/>
      <w:r>
        <w:rPr>
          <w:rFonts w:ascii="Calibri" w:eastAsia="SimHei"/>
          <w:b/>
          <w:bCs/>
          <w:color w:val="0E42D2"/>
          <w:sz w:val="32"/>
          <w:szCs w:val="32"/>
        </w:rPr>
        <w:t xml:space="preserve">2　产品概述</w:t>
      </w:r>
      <w:bookmarkEnd w:id="100005"/>
    </w:p>
    <w:p>
      <w:pPr>
        <w:pStyle w:val="Heading2"/>
        <w:spacing w:after="140" w:before="280" w:line="312"/>
      </w:pPr>
      <w:bookmarkStart w:id="100006" w:name="_Toc100006"/>
      <w:r>
        <w:rPr>
          <w:rFonts w:ascii="Calibri" w:eastAsia="SimHei"/>
          <w:b/>
          <w:bCs/>
          <w:color w:val="0E42D2"/>
          <w:sz w:val="28"/>
          <w:szCs w:val="28"/>
        </w:rPr>
        <w:t xml:space="preserve">2.1　产品定位</w:t>
      </w:r>
      <w:bookmarkEnd w:id="100006"/>
    </w:p>
    <w:p>
      <w:pPr>
        <w:spacing w:after="80" w:line="312"/>
        <w:ind w:firstLine="480"/>
        <w:jc w:val="both"/>
      </w:pPr>
      <w:r>
        <w:rPr>
          <w:rFonts w:ascii="Calibri" w:eastAsia="Microsoft YaHei"/>
          <w:color w:val="000000"/>
          <w:sz w:val="24"/>
          <w:szCs w:val="24"/>
        </w:rPr>
        <w:t xml:space="preserve">企智通的定位是「企业级一体化业务管理平台」：用一句话概括，企智通 = CRM + 审批流 + 进销存 + 财务 + 人事 + 办公 OA + AI。所有业务模块长在同一套数据库上——客户签了合同，财务自动生成应收；报销审批通过，记账凭证自动落账；商城下了订单，进销存自动出库扣减库存。业务数据一次录入、全链路贯通，不再依赖人工搬运。</w:t>
      </w:r>
    </w:p>
    <w:p>
      <w:pPr>
        <w:spacing w:after="80" w:line="312"/>
        <w:ind w:firstLine="480"/>
        <w:jc w:val="both"/>
      </w:pPr>
      <w:r>
        <w:rPr>
          <w:rFonts w:ascii="Calibri" w:eastAsia="Microsoft YaHei"/>
          <w:color w:val="000000"/>
          <w:sz w:val="24"/>
          <w:szCs w:val="24"/>
        </w:rPr>
        <w:t xml:space="preserve">平台整体开源（MIT 协议，源码无保留开放）：不限使用人数、不限使用时长、允许商用与二次开发，企业可以完全自主地部署、使用和修改。</w:t>
      </w:r>
    </w:p>
    <w:p>
      <w:pPr>
        <w:pStyle w:val="Heading2"/>
        <w:spacing w:after="140" w:before="280" w:line="312"/>
      </w:pPr>
      <w:bookmarkStart w:id="100007" w:name="_Toc100007"/>
      <w:r>
        <w:rPr>
          <w:rFonts w:ascii="Calibri" w:eastAsia="SimHei"/>
          <w:b/>
          <w:bCs/>
          <w:color w:val="0E42D2"/>
          <w:sz w:val="28"/>
          <w:szCs w:val="28"/>
        </w:rPr>
        <w:t xml:space="preserve">2.2　关键数字</w:t>
      </w:r>
      <w:bookmarkEnd w:id="100007"/>
    </w:p>
    <w:p>
      <w:pPr>
        <w:keepNext/>
        <w:spacing w:after="80" w:before="160" w:line="312"/>
        <w:jc w:val="center"/>
      </w:pPr>
      <w:r>
        <w:rPr>
          <w:rFonts w:ascii="Calibri" w:eastAsia="Microsoft YaHei"/>
          <w:b/>
          <w:bCs/>
          <w:color w:val="3D4A5C"/>
          <w:sz w:val="21"/>
          <w:szCs w:val="21"/>
        </w:rPr>
        <w:t xml:space="preserve">表 1　企智通平台关键数字</w:t>
      </w:r>
    </w:p>
    <w:tbl>
      <w:tblPr>
        <w:tblW w:type="pct" w:w="100%"/>
        <w:tblBorders>
          <w:top w:val="single" w:color="1677FF" w:sz="4"/>
          <w:left w:val="none" w:color="FFFFFF" w:sz="0"/>
          <w:bottom w:val="single" w:color="1677FF" w:sz="4"/>
          <w:right w:val="none" w:color="FFFFFF" w:sz="0"/>
          <w:insideH w:val="single" w:color="C9DCF9" w:sz="1"/>
          <w:insideV w:val="none" w:color="FFFFFF" w:sz="0"/>
        </w:tblBorders>
      </w:tblPr>
      <w:tblGrid>
        <w:gridCol w:w="100"/>
        <w:gridCol w:w="100"/>
        <w:gridCol w:w="100"/>
      </w:tblGrid>
      <w:tr>
        <w:trPr>
          <w:cantSplit/>
          <w:tblHeader/>
        </w:trPr>
        <w:tc>
          <w:tcPr>
            <w:tcW w:type="pct" w:w="22%"/>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维度</w:t>
            </w:r>
          </w:p>
        </w:tc>
        <w:tc>
          <w:tcPr>
            <w:tcW w:type="pct" w:w="16%"/>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数据</w:t>
            </w:r>
          </w:p>
        </w:tc>
        <w:tc>
          <w:tcPr>
            <w:tcW w:type="pct" w:w="62%"/>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说明</w:t>
            </w:r>
          </w:p>
        </w:tc>
      </w:tr>
      <w:tr>
        <w:trPr>
          <w:cantSplit/>
        </w:trPr>
        <w:tc>
          <w:tcPr>
            <w:tcW w:type="pct" w:w="22%"/>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后端模块</w:t>
            </w:r>
          </w:p>
        </w:tc>
        <w:tc>
          <w:tcPr>
            <w:tcW w:type="pct" w:w="16%"/>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15 个</w:t>
            </w:r>
          </w:p>
        </w:tc>
        <w:tc>
          <w:tcPr>
            <w:tcW w:type="pct" w:w="62%"/>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CRM / 进销存 / 财务 / 人事 / OA / 审批 / 项目 / 知识库 / 网盘 / 营销 / 商城 / 官网 / 系统管理等</w:t>
            </w:r>
          </w:p>
        </w:tc>
      </w:tr>
      <w:tr>
        <w:trPr>
          <w:cantSplit/>
        </w:trPr>
        <w:tc>
          <w:tcPr>
            <w:tcW w:type="pct" w:w="22%"/>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数据表</w:t>
            </w:r>
          </w:p>
        </w:tc>
        <w:tc>
          <w:tcPr>
            <w:tcW w:type="pct" w:w="16%"/>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123 张</w:t>
            </w:r>
          </w:p>
        </w:tc>
        <w:tc>
          <w:tcPr>
            <w:tcW w:type="pct" w:w="62%"/>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全部业务表有完整注释，结构清晰可审计</w:t>
            </w:r>
          </w:p>
        </w:tc>
      </w:tr>
      <w:tr>
        <w:trPr>
          <w:cantSplit/>
        </w:trPr>
        <w:tc>
          <w:tcPr>
            <w:tcW w:type="pct" w:w="22%"/>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后端 API</w:t>
            </w:r>
          </w:p>
        </w:tc>
        <w:tc>
          <w:tcPr>
            <w:tcW w:type="pct" w:w="16%"/>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411+ 个</w:t>
            </w:r>
          </w:p>
        </w:tc>
        <w:tc>
          <w:tcPr>
            <w:tcW w:type="pct" w:w="62%"/>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统一响应信封，Swagger 文档在线可查</w:t>
            </w:r>
          </w:p>
        </w:tc>
      </w:tr>
      <w:tr>
        <w:trPr>
          <w:cantSplit/>
        </w:trPr>
        <w:tc>
          <w:tcPr>
            <w:tcW w:type="pct" w:w="22%"/>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AI 工具（MCP）</w:t>
            </w:r>
          </w:p>
        </w:tc>
        <w:tc>
          <w:tcPr>
            <w:tcW w:type="pct" w:w="16%"/>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330+ 个</w:t>
            </w:r>
          </w:p>
        </w:tc>
        <w:tc>
          <w:tcPr>
            <w:tcW w:type="pct" w:w="62%"/>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全部业务能力通过 MCP 协议开放给 AI 助手调用</w:t>
            </w:r>
          </w:p>
        </w:tc>
      </w:tr>
      <w:tr>
        <w:trPr>
          <w:cantSplit/>
        </w:trPr>
        <w:tc>
          <w:tcPr>
            <w:tcW w:type="pct" w:w="22%"/>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前端形态</w:t>
            </w:r>
          </w:p>
        </w:tc>
        <w:tc>
          <w:tcPr>
            <w:tcW w:type="pct" w:w="16%"/>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6 类</w:t>
            </w:r>
          </w:p>
        </w:tc>
        <w:tc>
          <w:tcPr>
            <w:tcW w:type="pct" w:w="62%"/>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PC 后台、移动端 H5、iOS App、Android App、企业官网、公开商城</w:t>
            </w:r>
          </w:p>
        </w:tc>
      </w:tr>
      <w:tr>
        <w:trPr>
          <w:cantSplit/>
        </w:trPr>
        <w:tc>
          <w:tcPr>
            <w:tcW w:type="pct" w:w="22%"/>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开源协议</w:t>
            </w:r>
          </w:p>
        </w:tc>
        <w:tc>
          <w:tcPr>
            <w:tcW w:type="pct" w:w="16%"/>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MIT</w:t>
            </w:r>
          </w:p>
        </w:tc>
        <w:tc>
          <w:tcPr>
            <w:tcW w:type="pct" w:w="62%"/>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源码完整开放，允许商用与二次开发</w:t>
            </w:r>
          </w:p>
        </w:tc>
      </w:tr>
    </w:tbl>
    <w:p>
      <w:pPr>
        <w:pStyle w:val="Heading2"/>
        <w:spacing w:after="140" w:before="280" w:line="312"/>
      </w:pPr>
      <w:bookmarkStart w:id="100008" w:name="_Toc100008"/>
      <w:r>
        <w:rPr>
          <w:rFonts w:ascii="Calibri" w:eastAsia="SimHei"/>
          <w:b/>
          <w:bCs/>
          <w:color w:val="0E42D2"/>
          <w:sz w:val="28"/>
          <w:szCs w:val="28"/>
        </w:rPr>
        <w:t xml:space="preserve">2.3　版本与开放性</w:t>
      </w:r>
      <w:bookmarkEnd w:id="100008"/>
    </w:p>
    <w:p>
      <w:pPr>
        <w:spacing w:after="80" w:line="312"/>
        <w:ind w:firstLine="480"/>
        <w:jc w:val="both"/>
      </w:pPr>
      <w:r>
        <w:rPr>
          <w:rFonts w:ascii="Calibri" w:eastAsia="Microsoft YaHei"/>
          <w:color w:val="000000"/>
          <w:sz w:val="24"/>
          <w:szCs w:val="24"/>
        </w:rPr>
        <w:t xml:space="preserve">企智通采用三段式语义化版本管理，当前发布版本为 v1.1.0（2026 年 8 月 v1.0.0 首次定版）。项目源代码托管于 GitHub（github.com/Gyv12345/qzt），文档站提供部署手册与模块说明；管理后台内置「关于系统」弹窗与健康检查接口，便于运维核对版本。所有建表语句与种子数据以 SQL 文件形式随仓库发布，版本升级路径清晰透明。</w:t>
      </w:r>
    </w:p>
    <w:p>
      <w:pPr>
        <w:keepNext/>
        <w:spacing w:after="60" w:before="160"/>
        <w:jc w:val="center"/>
      </w:pPr>
      <w:r>
        <w:drawing>
          <wp:inline distT="0" distB="0" distL="0" distR="0">
            <wp:extent cx="5143500" cy="3219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143500" cy="3219450"/>
                    </a:xfrm>
                    <a:prstGeom prst="rect">
                      <a:avLst/>
                    </a:prstGeom>
                  </pic:spPr>
                </pic:pic>
              </a:graphicData>
            </a:graphic>
          </wp:inline>
        </w:drawing>
      </w:r>
    </w:p>
    <w:p>
      <w:pPr>
        <w:spacing w:after="180" w:line="276"/>
        <w:jc w:val="center"/>
      </w:pPr>
      <w:r>
        <w:rPr>
          <w:rFonts w:ascii="Calibri" w:eastAsia="Microsoft YaHei"/>
          <w:color w:val="6B7280"/>
          <w:sz w:val="18"/>
          <w:szCs w:val="18"/>
        </w:rPr>
        <w:t xml:space="preserve">图 1　企智通 PC 管理后台·工作台仪表盘</w:t>
      </w:r>
    </w:p>
    <w:p>
      <w:pPr>
        <w:pStyle w:val="Heading1"/>
        <w:spacing w:after="200" w:before="400" w:line="312"/>
      </w:pPr>
      <w:bookmarkStart w:id="100009" w:name="_Toc100009"/>
      <w:r>
        <w:rPr>
          <w:rFonts w:ascii="Calibri" w:eastAsia="SimHei"/>
          <w:b/>
          <w:bCs/>
          <w:color w:val="0E42D2"/>
          <w:sz w:val="32"/>
          <w:szCs w:val="32"/>
        </w:rPr>
        <w:t xml:space="preserve">3　总体架构：一源多端</w:t>
      </w:r>
      <w:bookmarkEnd w:id="100009"/>
    </w:p>
    <w:p>
      <w:pPr>
        <w:pStyle w:val="Heading2"/>
        <w:spacing w:after="140" w:before="280" w:line="312"/>
      </w:pPr>
      <w:bookmarkStart w:id="100010" w:name="_Toc100010"/>
      <w:r>
        <w:rPr>
          <w:rFonts w:ascii="Calibri" w:eastAsia="SimHei"/>
          <w:b/>
          <w:bCs/>
          <w:color w:val="0E42D2"/>
          <w:sz w:val="28"/>
          <w:szCs w:val="28"/>
        </w:rPr>
        <w:t xml:space="preserve">3.1　一套后端，支撑全部前端</w:t>
      </w:r>
      <w:bookmarkEnd w:id="100010"/>
    </w:p>
    <w:p>
      <w:pPr>
        <w:spacing w:after="80" w:line="312"/>
        <w:ind w:firstLine="480"/>
        <w:jc w:val="both"/>
      </w:pPr>
      <w:r>
        <w:rPr>
          <w:rFonts w:ascii="Calibri" w:eastAsia="Microsoft YaHei"/>
          <w:color w:val="000000"/>
          <w:sz w:val="24"/>
          <w:szCs w:val="24"/>
        </w:rPr>
        <w:t xml:space="preserve">企智通采用「单一数据源」架构：qzt-go-server 后端服务是全平台唯一数据源，所有前端都通过统一的 REST API（前缀 /prod-api）访问它。这保证了无论员工在 PC 上、手机上还是 AI 助手里操作，看到的都是同一份实时数据。</w:t>
      </w:r>
    </w:p>
    <w:p>
      <w:pPr>
        <w:keepNext/>
        <w:spacing w:after="80" w:before="160" w:line="312"/>
        <w:jc w:val="center"/>
      </w:pPr>
      <w:r>
        <w:rPr>
          <w:rFonts w:ascii="Calibri" w:eastAsia="Microsoft YaHei"/>
          <w:b/>
          <w:bCs/>
          <w:color w:val="3D4A5C"/>
          <w:sz w:val="21"/>
          <w:szCs w:val="21"/>
        </w:rPr>
        <w:t xml:space="preserve">表 2　企智通前端形态一览</w:t>
      </w:r>
    </w:p>
    <w:tbl>
      <w:tblPr>
        <w:tblW w:type="pct" w:w="100%"/>
        <w:tblBorders>
          <w:top w:val="single" w:color="1677FF" w:sz="4"/>
          <w:left w:val="none" w:color="FFFFFF" w:sz="0"/>
          <w:bottom w:val="single" w:color="1677FF" w:sz="4"/>
          <w:right w:val="none" w:color="FFFFFF" w:sz="0"/>
          <w:insideH w:val="single" w:color="C9DCF9" w:sz="1"/>
          <w:insideV w:val="none" w:color="FFFFFF" w:sz="0"/>
        </w:tblBorders>
      </w:tblPr>
      <w:tblGrid>
        <w:gridCol w:w="100"/>
        <w:gridCol w:w="100"/>
        <w:gridCol w:w="100"/>
      </w:tblGrid>
      <w:tr>
        <w:trPr>
          <w:cantSplit/>
          <w:tblHeader/>
        </w:trPr>
        <w:tc>
          <w:tcPr>
            <w:tcW w:type="pct" w:w="18%"/>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形态</w:t>
            </w:r>
          </w:p>
        </w:tc>
        <w:tc>
          <w:tcPr>
            <w:tcW w:type="pct" w:w="42%"/>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定位</w:t>
            </w:r>
          </w:p>
        </w:tc>
        <w:tc>
          <w:tcPr>
            <w:tcW w:type="pct" w:w="40%"/>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技术栈</w:t>
            </w:r>
          </w:p>
        </w:tc>
      </w:tr>
      <w:tr>
        <w:trPr>
          <w:cantSplit/>
        </w:trPr>
        <w:tc>
          <w:tcPr>
            <w:tcW w:type="pct" w:w="18%"/>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PC 管理后台</w:t>
            </w:r>
          </w:p>
        </w:tc>
        <w:tc>
          <w:tcPr>
            <w:tcW w:type="pct" w:w="42%"/>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全功能管理端，覆盖全部业务模块</w:t>
            </w:r>
          </w:p>
        </w:tc>
        <w:tc>
          <w:tcPr>
            <w:tcW w:type="pct" w:w="40%"/>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React 19 + antd 5 + TypeScript</w:t>
            </w:r>
          </w:p>
        </w:tc>
      </w:tr>
      <w:tr>
        <w:trPr>
          <w:cantSplit/>
        </w:trPr>
        <w:tc>
          <w:tcPr>
            <w:tcW w:type="pct" w:w="18%"/>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移动端 H5</w:t>
            </w:r>
          </w:p>
        </w:tc>
        <w:tc>
          <w:tcPr>
            <w:tcW w:type="pct" w:w="42%"/>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员工随身端：审批、考勤打卡、客户跟进、消息</w:t>
            </w:r>
          </w:p>
        </w:tc>
        <w:tc>
          <w:tcPr>
            <w:tcW w:type="pct" w:w="40%"/>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React 19 + antd-mobile，支持企业微信扫码登录</w:t>
            </w:r>
          </w:p>
        </w:tc>
      </w:tr>
      <w:tr>
        <w:trPr>
          <w:cantSplit/>
        </w:trPr>
        <w:tc>
          <w:tcPr>
            <w:tcW w:type="pct" w:w="18%"/>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iOS App</w:t>
            </w:r>
          </w:p>
        </w:tc>
        <w:tc>
          <w:tcPr>
            <w:tcW w:type="pct" w:w="42%"/>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纯原生直连后端（非 H5 套壳）</w:t>
            </w:r>
          </w:p>
        </w:tc>
        <w:tc>
          <w:tcPr>
            <w:tcW w:type="pct" w:w="40%"/>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SwiftUI + URLSession，iOS 17+</w:t>
            </w:r>
          </w:p>
        </w:tc>
      </w:tr>
      <w:tr>
        <w:trPr>
          <w:cantSplit/>
        </w:trPr>
        <w:tc>
          <w:tcPr>
            <w:tcW w:type="pct" w:w="18%"/>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Android App</w:t>
            </w:r>
          </w:p>
        </w:tc>
        <w:tc>
          <w:tcPr>
            <w:tcW w:type="pct" w:w="42%"/>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与 iOS 全模块对齐的原生 App</w:t>
            </w:r>
          </w:p>
        </w:tc>
        <w:tc>
          <w:tcPr>
            <w:tcW w:type="pct" w:w="40%"/>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Kotlin + Jetpack Compose</w:t>
            </w:r>
          </w:p>
        </w:tc>
      </w:tr>
      <w:tr>
        <w:trPr>
          <w:cantSplit/>
        </w:trPr>
        <w:tc>
          <w:tcPr>
            <w:tcW w:type="pct" w:w="18%"/>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企业官网</w:t>
            </w:r>
          </w:p>
        </w:tc>
        <w:tc>
          <w:tcPr>
            <w:tcW w:type="pct" w:w="42%"/>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公开站：产品展示、新闻、联系表单自动转 CRM 线索</w:t>
            </w:r>
          </w:p>
        </w:tc>
        <w:tc>
          <w:tcPr>
            <w:tcW w:type="pct" w:w="40%"/>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Next.js 15，内容在后台统一维护</w:t>
            </w:r>
          </w:p>
        </w:tc>
      </w:tr>
      <w:tr>
        <w:trPr>
          <w:cantSplit/>
        </w:trPr>
        <w:tc>
          <w:tcPr>
            <w:tcW w:type="pct" w:w="18%"/>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公开商城</w:t>
            </w:r>
          </w:p>
        </w:tc>
        <w:tc>
          <w:tcPr>
            <w:tcW w:type="pct" w:w="42%"/>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免登录商城：访客下单自动生成进销存销售单</w:t>
            </w:r>
          </w:p>
        </w:tc>
        <w:tc>
          <w:tcPr>
            <w:tcW w:type="pct" w:w="40%"/>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React 19 + antd-mobile，可绑定企业自有域名</w:t>
            </w:r>
          </w:p>
        </w:tc>
      </w:tr>
    </w:tbl>
    <w:p>
      <w:pPr>
        <w:pStyle w:val="Heading2"/>
        <w:spacing w:after="140" w:before="280" w:line="312"/>
      </w:pPr>
      <w:bookmarkStart w:id="100011" w:name="_Toc100011"/>
      <w:r>
        <w:rPr>
          <w:rFonts w:ascii="Calibri" w:eastAsia="SimHei"/>
          <w:b/>
          <w:bCs/>
          <w:color w:val="0E42D2"/>
          <w:sz w:val="28"/>
          <w:szCs w:val="28"/>
        </w:rPr>
        <w:t xml:space="preserve">3.2　后端技术架构</w:t>
      </w:r>
      <w:bookmarkEnd w:id="100011"/>
    </w:p>
    <w:p>
      <w:pPr>
        <w:spacing w:after="80" w:line="312"/>
        <w:ind w:firstLine="480"/>
        <w:jc w:val="both"/>
      </w:pPr>
      <w:r>
        <w:rPr>
          <w:rFonts w:ascii="Calibri" w:eastAsia="Microsoft YaHei"/>
          <w:color w:val="000000"/>
          <w:sz w:val="24"/>
          <w:szCs w:val="24"/>
        </w:rPr>
        <w:t xml:space="preserve">后端采用 Go 1.25 + Gin + GORM + Casbin + Redis 技术栈，分层严格单向：Router → Middleware → Handler → Service → Repository → 数据库，跨模块依赖通过接口约定解耦。架构风格为「模块化单体」（Modular Monolith）：按业务模块组织代码边界，共享同一进程与数据库，既避免了微服务的部署与运维复杂度，又保留了清晰的模块划分，后续按需拆分也有据可依。一台 2 核 4G 的云服务器即可运行全部功能，适合 IT 预算有限的中小企业。</w:t>
      </w:r>
    </w:p>
    <w:p>
      <w:pPr>
        <w:pStyle w:val="Heading2"/>
        <w:spacing w:after="140" w:before="280" w:line="312"/>
      </w:pPr>
      <w:bookmarkStart w:id="100012" w:name="_Toc100012"/>
      <w:r>
        <w:rPr>
          <w:rFonts w:ascii="Calibri" w:eastAsia="SimHei"/>
          <w:b/>
          <w:bCs/>
          <w:color w:val="0E42D2"/>
          <w:sz w:val="28"/>
          <w:szCs w:val="28"/>
        </w:rPr>
        <w:t xml:space="preserve">3.3　业务联动：数据一次录入、全链路贯通</w:t>
      </w:r>
      <w:bookmarkEnd w:id="100012"/>
    </w:p>
    <w:p>
      <w:pPr>
        <w:spacing w:after="80" w:line="312"/>
        <w:ind w:firstLine="480"/>
        <w:jc w:val="both"/>
      </w:pPr>
      <w:r>
        <w:rPr>
          <w:rFonts w:ascii="Calibri" w:eastAsia="Microsoft YaHei"/>
          <w:color w:val="000000"/>
          <w:sz w:val="24"/>
          <w:szCs w:val="24"/>
        </w:rPr>
        <w:t xml:space="preserve">模块化单体带来的直接收益是跨模块业务联动可以在同一事务内完成，无需消息队列与分布式事务。典型联动包括：销售订单出库时自动核减「商品 SKU × 仓库」维度的库存并生成应收；报销单审批通过后自动生成记账凭证；合同审批通过后自动置为已签订状态；抖音广告线索自动进入 CRM 公海并提醒销售领取。联动的价值在于消灭人工搬运：数据在产生的那一刻就流入下游，不再有第二遍录入。</w:t>
      </w:r>
    </w:p>
    <w:p>
      <w:pPr>
        <w:pStyle w:val="Heading1"/>
        <w:spacing w:after="200" w:before="400" w:line="312"/>
      </w:pPr>
      <w:bookmarkStart w:id="100013" w:name="_Toc100013"/>
      <w:r>
        <w:rPr>
          <w:rFonts w:ascii="Calibri" w:eastAsia="SimHei"/>
          <w:b/>
          <w:bCs/>
          <w:color w:val="0E42D2"/>
          <w:sz w:val="32"/>
          <w:szCs w:val="32"/>
        </w:rPr>
        <w:t xml:space="preserve">4　功能版图</w:t>
      </w:r>
      <w:bookmarkEnd w:id="100013"/>
    </w:p>
    <w:p>
      <w:pPr>
        <w:pStyle w:val="Heading2"/>
        <w:spacing w:after="140" w:before="280" w:line="312"/>
      </w:pPr>
      <w:bookmarkStart w:id="100014" w:name="_Toc100014"/>
      <w:r>
        <w:rPr>
          <w:rFonts w:ascii="Calibri" w:eastAsia="SimHei"/>
          <w:b/>
          <w:bCs/>
          <w:color w:val="0E42D2"/>
          <w:sz w:val="28"/>
          <w:szCs w:val="28"/>
        </w:rPr>
        <w:t xml:space="preserve">4.1　客户关系管理（CRM）</w:t>
      </w:r>
      <w:bookmarkEnd w:id="100014"/>
    </w:p>
    <w:p>
      <w:pPr>
        <w:spacing w:after="80" w:line="312"/>
        <w:ind w:firstLine="480"/>
        <w:jc w:val="both"/>
      </w:pPr>
      <w:r>
        <w:rPr>
          <w:rFonts w:ascii="Calibri" w:eastAsia="Microsoft YaHei"/>
          <w:color w:val="000000"/>
          <w:sz w:val="24"/>
          <w:szCs w:val="24"/>
        </w:rPr>
        <w:t xml:space="preserve">CRM 是企智通的业务起点，覆盖从线索到回款的完整销售链路：线索支持公海领取、释放、转移、转化与录入自动查重；客户与联系人管理内置公海机制与自定义字段，人员离职可通过交接流程把客户资产平滑移交给团队；商机提供看板视图与阶段流转历史；合同支持模板变量自动填充、在线审批、回款计划与回款记录，回款自动生成财务凭证；产品支持多规格 SKU；售后工单全程留痕。</w:t>
      </w:r>
    </w:p>
    <w:p>
      <w:pPr>
        <w:keepNext/>
        <w:spacing w:after="60" w:before="160"/>
        <w:jc w:val="center"/>
      </w:pPr>
      <w:r>
        <w:drawing>
          <wp:inline distT="0" distB="0" distL="0" distR="0">
            <wp:extent cx="5143500" cy="3219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143500" cy="3219450"/>
                    </a:xfrm>
                    <a:prstGeom prst="rect">
                      <a:avLst/>
                    </a:prstGeom>
                  </pic:spPr>
                </pic:pic>
              </a:graphicData>
            </a:graphic>
          </wp:inline>
        </w:drawing>
      </w:r>
    </w:p>
    <w:p>
      <w:pPr>
        <w:spacing w:after="180" w:line="276"/>
        <w:jc w:val="center"/>
      </w:pPr>
      <w:r>
        <w:rPr>
          <w:rFonts w:ascii="Calibri" w:eastAsia="Microsoft YaHei"/>
          <w:color w:val="6B7280"/>
          <w:sz w:val="18"/>
          <w:szCs w:val="18"/>
        </w:rPr>
        <w:t xml:space="preserve">图 2　CRM 客户管理（左树右表，按部门组织）</w:t>
      </w:r>
    </w:p>
    <w:p>
      <w:pPr>
        <w:pStyle w:val="Heading2"/>
        <w:spacing w:after="140" w:before="280" w:line="312"/>
      </w:pPr>
      <w:bookmarkStart w:id="100015" w:name="_Toc100015"/>
      <w:r>
        <w:rPr>
          <w:rFonts w:ascii="Calibri" w:eastAsia="SimHei"/>
          <w:b/>
          <w:bCs/>
          <w:color w:val="0E42D2"/>
          <w:sz w:val="28"/>
          <w:szCs w:val="28"/>
        </w:rPr>
        <w:t xml:space="preserve">4.2　进销存（PSI）</w:t>
      </w:r>
      <w:bookmarkEnd w:id="100015"/>
    </w:p>
    <w:p>
      <w:pPr>
        <w:spacing w:after="80" w:line="312"/>
        <w:ind w:firstLine="480"/>
        <w:jc w:val="both"/>
      </w:pPr>
      <w:r>
        <w:rPr>
          <w:rFonts w:ascii="Calibri" w:eastAsia="Microsoft YaHei"/>
          <w:color w:val="000000"/>
          <w:sz w:val="24"/>
          <w:szCs w:val="24"/>
        </w:rPr>
        <w:t xml:space="preserve">进销存模块围绕六类单据运转：采购订单、采购退货、销售订单、销售退货、其他入库、其他出库。所有收发动作联动库存，库存按「商品 SKU × 仓库」维度实时结余，收发明细以只增不改的流水方式记录，任何一笔库存变化都能追溯到期初单据。期初建账、盘盈盘亏、领用报废通过其他出入库完成；供应商、仓库、固定资产档案齐备；采购单入库自动生成应付、销售单出库自动生成应收，大额单据可配置先审批后收发。</w:t>
      </w:r>
    </w:p>
    <w:p>
      <w:pPr>
        <w:pStyle w:val="Heading2"/>
        <w:spacing w:after="140" w:before="280" w:line="312"/>
      </w:pPr>
      <w:bookmarkStart w:id="100016" w:name="_Toc100016"/>
      <w:r>
        <w:rPr>
          <w:rFonts w:ascii="Calibri" w:eastAsia="SimHei"/>
          <w:b/>
          <w:bCs/>
          <w:color w:val="0E42D2"/>
          <w:sz w:val="28"/>
          <w:szCs w:val="28"/>
        </w:rPr>
        <w:t xml:space="preserve">4.3　财务管理</w:t>
      </w:r>
      <w:bookmarkEnd w:id="100016"/>
    </w:p>
    <w:p>
      <w:pPr>
        <w:spacing w:after="80" w:line="312"/>
        <w:ind w:firstLine="480"/>
        <w:jc w:val="both"/>
      </w:pPr>
      <w:r>
        <w:rPr>
          <w:rFonts w:ascii="Calibri" w:eastAsia="Microsoft YaHei"/>
          <w:color w:val="000000"/>
          <w:sz w:val="24"/>
          <w:szCs w:val="24"/>
        </w:rPr>
        <w:t xml:space="preserve">财务模块提供面向中小企业的轻量业财一体化能力：树形会计科目（末级科目记账）、借贷平衡校验的记账凭证（草稿、已审核、已过账、已作废状态流转）、进项收票与销项开票管理、支持部分结算的应收应付，以及基于已确认凭证自动汇总的资产负债表与利润表。业务自动记账是重点：报销审批通过自动生成凭证、合同回款按回款方式匹配借贷模板自动入账，把财务从手工录凭证中解放出来。</w:t>
      </w:r>
    </w:p>
    <w:p>
      <w:pPr>
        <w:pStyle w:val="Heading2"/>
        <w:spacing w:after="140" w:before="280" w:line="312"/>
      </w:pPr>
      <w:bookmarkStart w:id="100017" w:name="_Toc100017"/>
      <w:r>
        <w:rPr>
          <w:rFonts w:ascii="Calibri" w:eastAsia="SimHei"/>
          <w:b/>
          <w:bCs/>
          <w:color w:val="0E42D2"/>
          <w:sz w:val="28"/>
          <w:szCs w:val="28"/>
        </w:rPr>
        <w:t xml:space="preserve">4.4　办公协同（OA）与审批中心</w:t>
      </w:r>
      <w:bookmarkEnd w:id="100017"/>
    </w:p>
    <w:p>
      <w:pPr>
        <w:spacing w:after="80" w:line="312"/>
        <w:ind w:firstLine="480"/>
        <w:jc w:val="both"/>
      </w:pPr>
      <w:r>
        <w:rPr>
          <w:rFonts w:ascii="Calibri" w:eastAsia="Microsoft YaHei"/>
          <w:color w:val="000000"/>
          <w:sz w:val="24"/>
          <w:szCs w:val="24"/>
        </w:rPr>
        <w:t xml:space="preserve">OA 模块覆盖日常办公全场景：多明细行的费用报销（审批通过自动记账、财务打款标记）、带预算的出差申请、支持部分还款的借款与备用金、日周月工作日志、日程安排、冲突自动检测的会议室预订、公告与 SSE 实时推送的站内消息，以及可视化拖拽的自定义表单设计器——非技术员工也能发布新的申请表单。</w:t>
      </w:r>
    </w:p>
    <w:p>
      <w:pPr>
        <w:spacing w:after="80" w:line="312"/>
        <w:ind w:firstLine="480"/>
        <w:jc w:val="both"/>
      </w:pPr>
      <w:r>
        <w:rPr>
          <w:rFonts w:ascii="Calibri" w:eastAsia="Microsoft YaHei"/>
          <w:color w:val="000000"/>
          <w:sz w:val="24"/>
          <w:szCs w:val="24"/>
        </w:rPr>
        <w:t xml:space="preserve">审批中心提供可视化流程设计器，支持条件分支、会签/或签/依次审批，审批人可按指定成员、部门负责人、角色或逐级上级配置；审批操作覆盖同意、驳回、退回、前中后加签、转办与撤回。审批通过后自动驱动业务状态变化：合同变为已签订、采购单允许入库、报销单生成凭证，让「审批」真正成为业务流程的一环而非流程外的橡皮图章。</w:t>
      </w:r>
    </w:p>
    <w:p>
      <w:pPr>
        <w:keepNext/>
        <w:spacing w:after="60" w:before="160"/>
        <w:jc w:val="center"/>
      </w:pPr>
      <w:r>
        <w:drawing>
          <wp:inline distT="0" distB="0" distL="0" distR="0">
            <wp:extent cx="5143500" cy="3219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143500" cy="3219450"/>
                    </a:xfrm>
                    <a:prstGeom prst="rect">
                      <a:avLst/>
                    </a:prstGeom>
                  </pic:spPr>
                </pic:pic>
              </a:graphicData>
            </a:graphic>
          </wp:inline>
        </w:drawing>
      </w:r>
    </w:p>
    <w:p>
      <w:pPr>
        <w:spacing w:after="180" w:line="276"/>
        <w:jc w:val="center"/>
      </w:pPr>
      <w:r>
        <w:rPr>
          <w:rFonts w:ascii="Calibri" w:eastAsia="Microsoft YaHei"/>
          <w:color w:val="6B7280"/>
          <w:sz w:val="18"/>
          <w:szCs w:val="18"/>
        </w:rPr>
        <w:t xml:space="preserve">图 3　审批中心·我的待办</w:t>
      </w:r>
    </w:p>
    <w:p>
      <w:pPr>
        <w:pStyle w:val="Heading2"/>
        <w:spacing w:after="140" w:before="280" w:line="312"/>
      </w:pPr>
      <w:bookmarkStart w:id="100018" w:name="_Toc100018"/>
      <w:r>
        <w:rPr>
          <w:rFonts w:ascii="Calibri" w:eastAsia="SimHei"/>
          <w:b/>
          <w:bCs/>
          <w:color w:val="0E42D2"/>
          <w:sz w:val="28"/>
          <w:szCs w:val="28"/>
        </w:rPr>
        <w:t xml:space="preserve">4.5　人事管理（HRM）</w:t>
      </w:r>
      <w:bookmarkEnd w:id="100018"/>
    </w:p>
    <w:p>
      <w:pPr>
        <w:spacing w:after="80" w:line="312"/>
        <w:ind w:firstLine="480"/>
        <w:jc w:val="both"/>
      </w:pPr>
      <w:r>
        <w:rPr>
          <w:rFonts w:ascii="Calibri" w:eastAsia="Microsoft YaHei"/>
          <w:color w:val="000000"/>
          <w:sz w:val="24"/>
          <w:szCs w:val="24"/>
        </w:rPr>
        <w:t xml:space="preserve">HRM 模块包含无限层级的部门树与岗位体系、员工档案（入职、调岗、晋升、转正、离职自动记录履历）、考勤管理（系统内带定位打卡，并每小时自动同步企业微信打卡记录，月度汇总自动核算迟到、缺卡与调休）、薪酬结构与工资条、绩效管理（自评与上级评审两级打分）以及从职位发布到候选人录用全流程的招聘管理。员工离职时可一键批量转移其名下的客户、线索、商机、合同与跟进记录，业务资产不随人员流失。</w:t>
      </w:r>
    </w:p>
    <w:p>
      <w:pPr>
        <w:pStyle w:val="Heading2"/>
        <w:spacing w:after="140" w:before="280" w:line="312"/>
      </w:pPr>
      <w:bookmarkStart w:id="100019" w:name="_Toc100019"/>
      <w:r>
        <w:rPr>
          <w:rFonts w:ascii="Calibri" w:eastAsia="SimHei"/>
          <w:b/>
          <w:bCs/>
          <w:color w:val="0E42D2"/>
          <w:sz w:val="28"/>
          <w:szCs w:val="28"/>
        </w:rPr>
        <w:t xml:space="preserve">4.6　项目 · 知识库 · 企业网盘</w:t>
      </w:r>
      <w:bookmarkEnd w:id="100019"/>
    </w:p>
    <w:p>
      <w:pPr>
        <w:spacing w:after="80" w:line="312"/>
        <w:ind w:firstLine="480"/>
        <w:jc w:val="both"/>
      </w:pPr>
      <w:r>
        <w:rPr>
          <w:rFonts w:ascii="Calibri" w:eastAsia="Microsoft YaHei"/>
          <w:color w:val="000000"/>
          <w:sz w:val="24"/>
          <w:szCs w:val="24"/>
        </w:rPr>
        <w:t xml:space="preserve">项目管理支持项目与 CRM 客户、合同关联，形成「销售 → 交付」闭环；任务按待办、进行中、完成三列看板拖拽管理，项目进度按任务完成率自动计算，立项可走审批。知识库提供无限层级分类、富文本文档、多人协同编辑与每次保存自动生成版本快照、支持回滚。企业网盘划分个人、部门、公开三种权限空间，支持上传下载、移动重命名、空间用量统计与回收站保护。</w:t>
      </w:r>
    </w:p>
    <w:p>
      <w:pPr>
        <w:pStyle w:val="Heading2"/>
        <w:spacing w:after="140" w:before="280" w:line="312"/>
      </w:pPr>
      <w:bookmarkStart w:id="100020" w:name="_Toc100020"/>
      <w:r>
        <w:rPr>
          <w:rFonts w:ascii="Calibri" w:eastAsia="SimHei"/>
          <w:b/>
          <w:bCs/>
          <w:color w:val="0E42D2"/>
          <w:sz w:val="28"/>
          <w:szCs w:val="28"/>
        </w:rPr>
        <w:t xml:space="preserve">4.7　营销获客 · 公开商城 · 企业官网</w:t>
      </w:r>
      <w:bookmarkEnd w:id="100020"/>
    </w:p>
    <w:p>
      <w:pPr>
        <w:spacing w:after="80" w:line="312"/>
        <w:ind w:firstLine="480"/>
        <w:jc w:val="both"/>
      </w:pPr>
      <w:r>
        <w:rPr>
          <w:rFonts w:ascii="Calibri" w:eastAsia="Microsoft YaHei"/>
          <w:color w:val="000000"/>
          <w:sz w:val="24"/>
          <w:szCs w:val="24"/>
        </w:rPr>
        <w:t xml:space="preserve">获客与对外展示同样在内置范围内：营销模块对接抖音巨量引擎，广告表单线索自动同步进 CRM 公海并推送提醒，同步日志逐条记录入库、去重与失败明细；公开商城免登录即可浏览商品、选择规格下单，订单在后台确认后一键生成进销存销售单并自动扣减库存，可绑定企业自有域名对外营业；企业官网由 CMS 模块统一维护，文章、产品、团队与首页配置全部在管理后台完成，官网「联系我们」表单提交后自动在 CRM 创建线索，让每一次访客咨询都进入销售视野。</w:t>
      </w:r>
    </w:p>
    <w:p>
      <w:pPr>
        <w:keepNext/>
        <w:spacing w:after="60" w:before="160"/>
        <w:jc w:val="center"/>
      </w:pPr>
      <w:r>
        <w:drawing>
          <wp:inline distT="0" distB="0" distL="0" distR="0">
            <wp:extent cx="2857500" cy="6181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857500" cy="6181725"/>
                    </a:xfrm>
                    <a:prstGeom prst="rect">
                      <a:avLst/>
                    </a:prstGeom>
                  </pic:spPr>
                </pic:pic>
              </a:graphicData>
            </a:graphic>
          </wp:inline>
        </w:drawing>
      </w:r>
    </w:p>
    <w:p>
      <w:pPr>
        <w:spacing w:after="180" w:line="276"/>
        <w:jc w:val="center"/>
      </w:pPr>
      <w:r>
        <w:rPr>
          <w:rFonts w:ascii="Calibri" w:eastAsia="Microsoft YaHei"/>
          <w:color w:val="6B7280"/>
          <w:sz w:val="18"/>
          <w:szCs w:val="18"/>
        </w:rPr>
        <w:t xml:space="preserve">图 4　移动端工作台（数据看板随手可查）</w:t>
      </w:r>
    </w:p>
    <w:p>
      <w:pPr>
        <w:pStyle w:val="Heading2"/>
        <w:spacing w:after="140" w:before="280" w:line="312"/>
      </w:pPr>
      <w:bookmarkStart w:id="100021" w:name="_Toc100021"/>
      <w:r>
        <w:rPr>
          <w:rFonts w:ascii="Calibri" w:eastAsia="SimHei"/>
          <w:b/>
          <w:bCs/>
          <w:color w:val="0E42D2"/>
          <w:sz w:val="28"/>
          <w:szCs w:val="28"/>
        </w:rPr>
        <w:t xml:space="preserve">4.8　模块自动联动一览</w:t>
      </w:r>
      <w:bookmarkEnd w:id="100021"/>
    </w:p>
    <w:p>
      <w:pPr>
        <w:keepNext/>
        <w:spacing w:after="80" w:before="160" w:line="312"/>
        <w:jc w:val="center"/>
      </w:pPr>
      <w:r>
        <w:rPr>
          <w:rFonts w:ascii="Calibri" w:eastAsia="Microsoft YaHei"/>
          <w:b/>
          <w:bCs/>
          <w:color w:val="3D4A5C"/>
          <w:sz w:val="21"/>
          <w:szCs w:val="21"/>
        </w:rPr>
        <w:t xml:space="preserve">表 3　典型跨模块自动联动</w:t>
      </w:r>
    </w:p>
    <w:tbl>
      <w:tblPr>
        <w:tblW w:type="pct" w:w="100%"/>
        <w:tblBorders>
          <w:top w:val="single" w:color="1677FF" w:sz="4"/>
          <w:left w:val="none" w:color="FFFFFF" w:sz="0"/>
          <w:bottom w:val="single" w:color="1677FF" w:sz="4"/>
          <w:right w:val="none" w:color="FFFFFF" w:sz="0"/>
          <w:insideH w:val="single" w:color="C9DCF9" w:sz="1"/>
          <w:insideV w:val="none" w:color="FFFFFF" w:sz="0"/>
        </w:tblBorders>
      </w:tblPr>
      <w:tblGrid>
        <w:gridCol w:w="100"/>
        <w:gridCol w:w="100"/>
      </w:tblGrid>
      <w:tr>
        <w:trPr>
          <w:cantSplit/>
          <w:tblHeader/>
        </w:trPr>
        <w:tc>
          <w:tcPr>
            <w:tcW w:type="pct" w:w="34%"/>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业务场景</w:t>
            </w:r>
          </w:p>
        </w:tc>
        <w:tc>
          <w:tcPr>
            <w:tcW w:type="pct" w:w="66%"/>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自动完成的下游动作</w:t>
            </w:r>
          </w:p>
        </w:tc>
      </w:tr>
      <w:tr>
        <w:trPr>
          <w:cantSplit/>
        </w:trPr>
        <w:tc>
          <w:tcPr>
            <w:tcW w:type="pct" w:w="34%"/>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合同审批通过</w:t>
            </w:r>
          </w:p>
        </w:tc>
        <w:tc>
          <w:tcPr>
            <w:tcW w:type="pct" w:w="66%"/>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合同置为已签订，按合同生成财务应收</w:t>
            </w:r>
          </w:p>
        </w:tc>
      </w:tr>
      <w:tr>
        <w:trPr>
          <w:cantSplit/>
        </w:trPr>
        <w:tc>
          <w:tcPr>
            <w:tcW w:type="pct" w:w="34%"/>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登记合同回款</w:t>
            </w:r>
          </w:p>
        </w:tc>
        <w:tc>
          <w:tcPr>
            <w:tcW w:type="pct" w:w="66%"/>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累计合同已回款，按回款方式自动生成记账凭证</w:t>
            </w:r>
          </w:p>
        </w:tc>
      </w:tr>
      <w:tr>
        <w:trPr>
          <w:cantSplit/>
        </w:trPr>
        <w:tc>
          <w:tcPr>
            <w:tcW w:type="pct" w:w="34%"/>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销售订单出库</w:t>
            </w:r>
          </w:p>
        </w:tc>
        <w:tc>
          <w:tcPr>
            <w:tcW w:type="pct" w:w="66%"/>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核减 SKU × 仓库库存，生成应收，写入库存流水</w:t>
            </w:r>
          </w:p>
        </w:tc>
      </w:tr>
      <w:tr>
        <w:trPr>
          <w:cantSplit/>
        </w:trPr>
        <w:tc>
          <w:tcPr>
            <w:tcW w:type="pct" w:w="34%"/>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报销审批通过</w:t>
            </w:r>
          </w:p>
        </w:tc>
        <w:tc>
          <w:tcPr>
            <w:tcW w:type="pct" w:w="66%"/>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自动生成记账凭证，进入财务打款队列</w:t>
            </w:r>
          </w:p>
        </w:tc>
      </w:tr>
      <w:tr>
        <w:trPr>
          <w:cantSplit/>
        </w:trPr>
        <w:tc>
          <w:tcPr>
            <w:tcW w:type="pct" w:w="34%"/>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商城访客下单</w:t>
            </w:r>
          </w:p>
        </w:tc>
        <w:tc>
          <w:tcPr>
            <w:tcW w:type="pct" w:w="66%"/>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后台确认后一键生成销售单并自动扣库存</w:t>
            </w:r>
          </w:p>
        </w:tc>
      </w:tr>
      <w:tr>
        <w:trPr>
          <w:cantSplit/>
        </w:trPr>
        <w:tc>
          <w:tcPr>
            <w:tcW w:type="pct" w:w="34%"/>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抖音广告留资</w:t>
            </w:r>
          </w:p>
        </w:tc>
        <w:tc>
          <w:tcPr>
            <w:tcW w:type="pct" w:w="66%"/>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线索自动进入 CRM 公海并推送销售提醒</w:t>
            </w:r>
          </w:p>
        </w:tc>
      </w:tr>
      <w:tr>
        <w:trPr>
          <w:cantSplit/>
        </w:trPr>
        <w:tc>
          <w:tcPr>
            <w:tcW w:type="pct" w:w="34%"/>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官网联系表单</w:t>
            </w:r>
          </w:p>
        </w:tc>
        <w:tc>
          <w:tcPr>
            <w:tcW w:type="pct" w:w="66%"/>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自动创建 CRM 线索，推送管理员</w:t>
            </w:r>
          </w:p>
        </w:tc>
      </w:tr>
      <w:tr>
        <w:trPr>
          <w:cantSplit/>
        </w:trPr>
        <w:tc>
          <w:tcPr>
            <w:tcW w:type="pct" w:w="34%"/>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员工离职交接</w:t>
            </w:r>
          </w:p>
        </w:tc>
        <w:tc>
          <w:tcPr>
            <w:tcW w:type="pct" w:w="66%"/>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名下客户/线索/商机/合同批量转移，履历留痕</w:t>
            </w:r>
          </w:p>
        </w:tc>
      </w:tr>
    </w:tbl>
    <w:p>
      <w:pPr>
        <w:pStyle w:val="Heading1"/>
        <w:spacing w:after="200" w:before="400" w:line="312"/>
      </w:pPr>
      <w:bookmarkStart w:id="100022" w:name="_Toc100022"/>
      <w:r>
        <w:rPr>
          <w:rFonts w:ascii="Calibri" w:eastAsia="SimHei"/>
          <w:b/>
          <w:bCs/>
          <w:color w:val="0E42D2"/>
          <w:sz w:val="32"/>
          <w:szCs w:val="32"/>
        </w:rPr>
        <w:t xml:space="preserve">5　AI 能力：AI 可直接操作的业务系统</w:t>
      </w:r>
      <w:bookmarkEnd w:id="100022"/>
    </w:p>
    <w:p>
      <w:pPr>
        <w:pStyle w:val="Heading2"/>
        <w:spacing w:after="140" w:before="280" w:line="312"/>
      </w:pPr>
      <w:bookmarkStart w:id="100023" w:name="_Toc100023"/>
      <w:r>
        <w:rPr>
          <w:rFonts w:ascii="Calibri" w:eastAsia="SimHei"/>
          <w:b/>
          <w:bCs/>
          <w:color w:val="0E42D2"/>
          <w:sz w:val="28"/>
          <w:szCs w:val="28"/>
        </w:rPr>
        <w:t xml:space="preserve">5.1　为什么是 MCP</w:t>
      </w:r>
      <w:bookmarkEnd w:id="100023"/>
    </w:p>
    <w:p>
      <w:pPr>
        <w:spacing w:after="80" w:line="312"/>
        <w:ind w:firstLine="480"/>
        <w:jc w:val="both"/>
      </w:pPr>
      <w:r>
        <w:rPr>
          <w:rFonts w:ascii="Calibri" w:eastAsia="Microsoft YaHei"/>
          <w:color w:val="000000"/>
          <w:sz w:val="24"/>
          <w:szCs w:val="24"/>
        </w:rPr>
        <w:t xml:space="preserve">大模型助手的能力边界取决于它能调用什么工具。企智通没有把 AI 做成一个聊天挂件，而是通过 MCP（Model Context Protocol）协议把全部业务能力原生开放：330 余个工具、划分为 14 个工具集，覆盖 CRM、OA、HRM、进销存、财务、审批、项目、知识库、网盘、CMS、BI 看板、系统管理与公共服务。用户在 Claude Desktop、Cursor、Cline 等支持 MCP 的客户端里，用自然语言就能完成「帮我把这个客户转移到小王名下」「拉一下本季度回款前十」这类真实业务操作。AI 是新的操作界面，而不是新的风险口子。</w:t>
      </w:r>
    </w:p>
    <w:p>
      <w:pPr>
        <w:pStyle w:val="Heading2"/>
        <w:spacing w:after="140" w:before="280" w:line="312"/>
      </w:pPr>
      <w:bookmarkStart w:id="100024" w:name="_Toc100024"/>
      <w:r>
        <w:rPr>
          <w:rFonts w:ascii="Calibri" w:eastAsia="SimHei"/>
          <w:b/>
          <w:bCs/>
          <w:color w:val="0E42D2"/>
          <w:sz w:val="28"/>
          <w:szCs w:val="28"/>
        </w:rPr>
        <w:t xml:space="preserve">5.2　三层安全防线</w:t>
      </w:r>
      <w:bookmarkEnd w:id="100024"/>
    </w:p>
    <w:p>
      <w:pPr>
        <w:spacing w:after="80" w:line="312"/>
        <w:ind w:firstLine="480"/>
        <w:jc w:val="both"/>
      </w:pPr>
      <w:r>
        <w:rPr>
          <w:rFonts w:ascii="Calibri" w:eastAsia="Microsoft YaHei"/>
          <w:color w:val="000000"/>
          <w:sz w:val="24"/>
          <w:szCs w:val="24"/>
        </w:rPr>
        <w:t xml:space="preserve">AI 调用权限不是简单开关，而是三层防线：第一层，API Key 认证——每个用户在个人中心自助创建密钥（仅展示一次、可随时吊销），密钥绑定真实用户身份；第二层，工具集裁剪——每把密钥可勾选只开放部分模块，对工具列表可见性与实际调用双重生效；第三层，Casbin 操作级鉴权——每个工具映射到具体的后端接口路径与方法，按角色逐条校验，未登记权限映射的工具一律默认拒绝。AI 助手能做什么，完全等价于这个用户本人在系统里的权限，数据权限过滤同源生效。</w:t>
      </w:r>
    </w:p>
    <w:p>
      <w:pPr>
        <w:pStyle w:val="Heading1"/>
        <w:spacing w:after="200" w:before="400" w:line="312"/>
      </w:pPr>
      <w:bookmarkStart w:id="100025" w:name="_Toc100025"/>
      <w:r>
        <w:rPr>
          <w:rFonts w:ascii="Calibri" w:eastAsia="SimHei"/>
          <w:b/>
          <w:bCs/>
          <w:color w:val="0E42D2"/>
          <w:sz w:val="32"/>
          <w:szCs w:val="32"/>
        </w:rPr>
        <w:t xml:space="preserve">6　安全与权限体系</w:t>
      </w:r>
      <w:bookmarkEnd w:id="100025"/>
    </w:p>
    <w:p>
      <w:pPr>
        <w:pStyle w:val="Heading2"/>
        <w:spacing w:after="140" w:before="280" w:line="312"/>
      </w:pPr>
      <w:bookmarkStart w:id="100026" w:name="_Toc100026"/>
      <w:r>
        <w:rPr>
          <w:rFonts w:ascii="Calibri" w:eastAsia="SimHei"/>
          <w:b/>
          <w:bCs/>
          <w:color w:val="0E42D2"/>
          <w:sz w:val="28"/>
          <w:szCs w:val="28"/>
        </w:rPr>
        <w:t xml:space="preserve">6.1　功能权限：菜单、接口、按钮三级管控</w:t>
      </w:r>
      <w:bookmarkEnd w:id="100026"/>
    </w:p>
    <w:p>
      <w:pPr>
        <w:spacing w:after="80" w:line="312"/>
        <w:ind w:firstLine="480"/>
        <w:jc w:val="both"/>
      </w:pPr>
      <w:r>
        <w:rPr>
          <w:rFonts w:ascii="Calibri" w:eastAsia="Microsoft YaHei"/>
          <w:color w:val="000000"/>
          <w:sz w:val="24"/>
          <w:szCs w:val="24"/>
        </w:rPr>
        <w:t xml:space="preserve">企智通采用 RBAC 权限模型，由 Casbin 引擎执行：角色绑定菜单与接口，前端路由由后端菜单树驱动，员工登录后只能看到被授权的菜单与按钮；接口层同时校验，即使绕过前端直接调用未授权接口也会被拒绝。角色保存时权限策略自动重建，管理员无需理解策略细节。</w:t>
      </w:r>
    </w:p>
    <w:p>
      <w:pPr>
        <w:pStyle w:val="Heading2"/>
        <w:spacing w:after="140" w:before="280" w:line="312"/>
      </w:pPr>
      <w:bookmarkStart w:id="100027" w:name="_Toc100027"/>
      <w:r>
        <w:rPr>
          <w:rFonts w:ascii="Calibri" w:eastAsia="SimHei"/>
          <w:b/>
          <w:bCs/>
          <w:color w:val="0E42D2"/>
          <w:sz w:val="28"/>
          <w:szCs w:val="28"/>
        </w:rPr>
        <w:t xml:space="preserve">6.2　数据权限：五行级数据范围</w:t>
      </w:r>
      <w:bookmarkEnd w:id="100027"/>
    </w:p>
    <w:p>
      <w:pPr>
        <w:keepNext/>
        <w:spacing w:after="80" w:before="160" w:line="312"/>
        <w:jc w:val="center"/>
      </w:pPr>
      <w:r>
        <w:rPr>
          <w:rFonts w:ascii="Calibri" w:eastAsia="Microsoft YaHei"/>
          <w:b/>
          <w:bCs/>
          <w:color w:val="3D4A5C"/>
          <w:sz w:val="21"/>
          <w:szCs w:val="21"/>
        </w:rPr>
        <w:t xml:space="preserve">表 4　数据权限范围档位</w:t>
      </w:r>
    </w:p>
    <w:tbl>
      <w:tblPr>
        <w:tblW w:type="pct" w:w="100%"/>
        <w:tblBorders>
          <w:top w:val="single" w:color="1677FF" w:sz="4"/>
          <w:left w:val="none" w:color="FFFFFF" w:sz="0"/>
          <w:bottom w:val="single" w:color="1677FF" w:sz="4"/>
          <w:right w:val="none" w:color="FFFFFF" w:sz="0"/>
          <w:insideH w:val="single" w:color="C9DCF9" w:sz="1"/>
          <w:insideV w:val="none" w:color="FFFFFF" w:sz="0"/>
        </w:tblBorders>
      </w:tblPr>
      <w:tblGrid>
        <w:gridCol w:w="100"/>
        <w:gridCol w:w="100"/>
      </w:tblGrid>
      <w:tr>
        <w:trPr>
          <w:cantSplit/>
          <w:tblHeader/>
        </w:trPr>
        <w:tc>
          <w:tcPr>
            <w:tcW w:type="pct" w:w="30%"/>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档位</w:t>
            </w:r>
          </w:p>
        </w:tc>
        <w:tc>
          <w:tcPr>
            <w:tcW w:type="pct" w:w="70%"/>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可见数据范围</w:t>
            </w:r>
          </w:p>
        </w:tc>
      </w:tr>
      <w:tr>
        <w:trPr>
          <w:cantSplit/>
        </w:trPr>
        <w:tc>
          <w:tcPr>
            <w:tcW w:type="pct" w:w="30%"/>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全部数据</w:t>
            </w:r>
          </w:p>
        </w:tc>
        <w:tc>
          <w:tcPr>
            <w:tcW w:type="pct" w:w="70%"/>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查看全公司数据，通常仅管理层角色配置</w:t>
            </w:r>
          </w:p>
        </w:tc>
      </w:tr>
      <w:tr>
        <w:trPr>
          <w:cantSplit/>
        </w:trPr>
        <w:tc>
          <w:tcPr>
            <w:tcW w:type="pct" w:w="30%"/>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本部门及子部门</w:t>
            </w:r>
          </w:p>
        </w:tc>
        <w:tc>
          <w:tcPr>
            <w:tcW w:type="pct" w:w="70%"/>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查看所在部门及其下属部门的数据，适合部门负责人</w:t>
            </w:r>
          </w:p>
        </w:tc>
      </w:tr>
      <w:tr>
        <w:trPr>
          <w:cantSplit/>
        </w:trPr>
        <w:tc>
          <w:tcPr>
            <w:tcW w:type="pct" w:w="30%"/>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本部门</w:t>
            </w:r>
          </w:p>
        </w:tc>
        <w:tc>
          <w:tcPr>
            <w:tcW w:type="pct" w:w="70%"/>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仅查看所在部门的数据</w:t>
            </w:r>
          </w:p>
        </w:tc>
      </w:tr>
      <w:tr>
        <w:trPr>
          <w:cantSplit/>
        </w:trPr>
        <w:tc>
          <w:tcPr>
            <w:tcW w:type="pct" w:w="30%"/>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仅本人</w:t>
            </w:r>
          </w:p>
        </w:tc>
        <w:tc>
          <w:tcPr>
            <w:tcW w:type="pct" w:w="70%"/>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仅查看自己负责的数据，适合一线销售</w:t>
            </w:r>
          </w:p>
        </w:tc>
      </w:tr>
      <w:tr>
        <w:trPr>
          <w:cantSplit/>
        </w:trPr>
        <w:tc>
          <w:tcPr>
            <w:tcW w:type="pct" w:w="30%"/>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自定义部门</w:t>
            </w:r>
          </w:p>
        </w:tc>
        <w:tc>
          <w:tcPr>
            <w:tcW w:type="pct" w:w="70%"/>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手动指定可见的部门清单</w:t>
            </w:r>
          </w:p>
        </w:tc>
      </w:tr>
    </w:tbl>
    <w:p>
      <w:pPr>
        <w:spacing w:after="80" w:line="312"/>
        <w:ind w:firstLine="480"/>
        <w:jc w:val="both"/>
      </w:pPr>
      <w:r>
        <w:rPr>
          <w:rFonts w:ascii="Calibri" w:eastAsia="Microsoft YaHei"/>
          <w:color w:val="000000"/>
          <w:sz w:val="24"/>
          <w:szCs w:val="24"/>
        </w:rPr>
        <w:t xml:space="preserve">数据权限在客户、线索等业务列表上自动行级过滤，多角色并存时取最宽松档位。销售总监看全公司、销售主管看本组、销售只看自己的客户——同一张列表页，各人各得其所，无需为不同角色开发不同页面。</w:t>
      </w:r>
    </w:p>
    <w:p>
      <w:pPr>
        <w:pStyle w:val="Heading2"/>
        <w:spacing w:after="140" w:before="280" w:line="312"/>
      </w:pPr>
      <w:bookmarkStart w:id="100028" w:name="_Toc100028"/>
      <w:r>
        <w:rPr>
          <w:rFonts w:ascii="Calibri" w:eastAsia="SimHei"/>
          <w:b/>
          <w:bCs/>
          <w:color w:val="0E42D2"/>
          <w:sz w:val="28"/>
          <w:szCs w:val="28"/>
        </w:rPr>
        <w:t xml:space="preserve">6.3　账号认证与审计</w:t>
      </w:r>
      <w:bookmarkEnd w:id="100028"/>
    </w:p>
    <w:p>
      <w:pPr>
        <w:spacing w:after="80" w:line="312"/>
        <w:ind w:firstLine="480"/>
        <w:jc w:val="both"/>
      </w:pPr>
      <w:r>
        <w:rPr>
          <w:rFonts w:ascii="Calibri" w:eastAsia="Microsoft YaHei"/>
          <w:color w:val="000000"/>
          <w:sz w:val="24"/>
          <w:szCs w:val="24"/>
        </w:rPr>
        <w:t xml:space="preserve">认证层面采用 JWT 双令牌机制（访问令牌 + 刷新令牌），支持企业微信扫码登录；登录错误次数超限自动锁定并明确提示剩余尝试次数，防范撞库爆破。审计层面，操作日志全量记录关键写操作，登录日志附带离线 IP 归属地解析；日志输出自动脱敏，密码、令牌、密钥等敏感字段绝不落盘。数据层面，业务表统一软删除机制，误删可追溯恢复；超级管理员账号内置防篡改保护，针对管理员账号的异常操作触发实时告警。</w:t>
      </w:r>
    </w:p>
    <w:p>
      <w:pPr>
        <w:pStyle w:val="Heading1"/>
        <w:spacing w:after="200" w:before="400" w:line="312"/>
      </w:pPr>
      <w:bookmarkStart w:id="100029" w:name="_Toc100029"/>
      <w:r>
        <w:rPr>
          <w:rFonts w:ascii="Calibri" w:eastAsia="SimHei"/>
          <w:b/>
          <w:bCs/>
          <w:color w:val="0E42D2"/>
          <w:sz w:val="32"/>
          <w:szCs w:val="32"/>
        </w:rPr>
        <w:t xml:space="preserve">7　部署方案与运行环境</w:t>
      </w:r>
      <w:bookmarkEnd w:id="100029"/>
    </w:p>
    <w:p>
      <w:pPr>
        <w:pStyle w:val="Heading2"/>
        <w:spacing w:after="140" w:before="280" w:line="312"/>
      </w:pPr>
      <w:bookmarkStart w:id="100030" w:name="_Toc100030"/>
      <w:r>
        <w:rPr>
          <w:rFonts w:ascii="Calibri" w:eastAsia="SimHei"/>
          <w:b/>
          <w:bCs/>
          <w:color w:val="0E42D2"/>
          <w:sz w:val="28"/>
          <w:szCs w:val="28"/>
        </w:rPr>
        <w:t xml:space="preserve">7.1　部署形态</w:t>
      </w:r>
      <w:bookmarkEnd w:id="100030"/>
    </w:p>
    <w:p>
      <w:pPr>
        <w:spacing w:after="80" w:line="312"/>
        <w:ind w:firstLine="480"/>
        <w:jc w:val="both"/>
      </w:pPr>
      <w:r>
        <w:rPr>
          <w:rFonts w:ascii="Calibri" w:eastAsia="Microsoft YaHei"/>
          <w:color w:val="000000"/>
          <w:sz w:val="24"/>
          <w:szCs w:val="24"/>
        </w:rPr>
        <w:t xml:space="preserve">企智通的推荐部署形态是单机私有化：一台 Linux 云服务器，systemd 托管后端进程，Nginx 承载静态资源与 HTTPS 证书，配合 MySQL 数据库与 Redis 即可完整运行，无需容器编排等重型运维。文件存储支持本地磁盘与阿里云 OSS（含 CDN 加速）两种模式，可在后台配置切换。对于有容器平台的企业，官方同时提供 Docker 镜像打包。</w:t>
      </w:r>
    </w:p>
    <w:p>
      <w:pPr>
        <w:pStyle w:val="Heading2"/>
        <w:spacing w:after="140" w:before="280" w:line="312"/>
      </w:pPr>
      <w:bookmarkStart w:id="100031" w:name="_Toc100031"/>
      <w:r>
        <w:rPr>
          <w:rFonts w:ascii="Calibri" w:eastAsia="SimHei"/>
          <w:b/>
          <w:bCs/>
          <w:color w:val="0E42D2"/>
          <w:sz w:val="28"/>
          <w:szCs w:val="28"/>
        </w:rPr>
        <w:t xml:space="preserve">7.2　环境要求</w:t>
      </w:r>
      <w:bookmarkEnd w:id="100031"/>
    </w:p>
    <w:p>
      <w:pPr>
        <w:spacing w:after="80" w:line="312"/>
        <w:ind w:firstLine="480"/>
        <w:jc w:val="both"/>
      </w:pPr>
      <w:r>
        <w:rPr>
          <w:rFonts w:ascii="Calibri" w:eastAsia="Microsoft YaHei"/>
          <w:color w:val="000000"/>
          <w:sz w:val="24"/>
          <w:szCs w:val="24"/>
        </w:rPr>
        <w:t xml:space="preserve">最低配置为 2 核 CPU、4G 内存、40G 系统盘的 Linux 服务器，可满足数十人规模团队的日常使用；随团队增长纵向升级配置即可。软件依赖仅 MySQL 8 与 Redis，域名与 HTTPS 证书为可选项，内网环境同样可以完整运行——这使企智通也适合对数据外联有严格要求的制造与商贸企业。</w:t>
      </w:r>
    </w:p>
    <w:p>
      <w:pPr>
        <w:pStyle w:val="Heading2"/>
        <w:spacing w:after="140" w:before="280" w:line="312"/>
      </w:pPr>
      <w:bookmarkStart w:id="100032" w:name="_Toc100032"/>
      <w:r>
        <w:rPr>
          <w:rFonts w:ascii="Calibri" w:eastAsia="SimHei"/>
          <w:b/>
          <w:bCs/>
          <w:color w:val="0E42D2"/>
          <w:sz w:val="28"/>
          <w:szCs w:val="28"/>
        </w:rPr>
        <w:t xml:space="preserve">7.3　升级与维护</w:t>
      </w:r>
      <w:bookmarkEnd w:id="100032"/>
    </w:p>
    <w:p>
      <w:pPr>
        <w:spacing w:after="80" w:line="312"/>
        <w:ind w:firstLine="480"/>
        <w:jc w:val="both"/>
      </w:pPr>
      <w:r>
        <w:rPr>
          <w:rFonts w:ascii="Calibri" w:eastAsia="Microsoft YaHei"/>
          <w:color w:val="000000"/>
          <w:sz w:val="24"/>
          <w:szCs w:val="24"/>
        </w:rPr>
        <w:t xml:space="preserve">版本采用语义化编号，升级以替换二进制与执行增量 SQL 为主，操作路径固定、可回滚。平台内置健康检查接口与 Swagger 在线接口文档，配套 Docusaurus 文档站提供部署与模块手册；建表与种子数据全部以幂等 SQL 文件随版本发布，数据库结构对用户完全透明可审计。</w:t>
      </w:r>
    </w:p>
    <w:p>
      <w:pPr>
        <w:pStyle w:val="Heading1"/>
        <w:spacing w:after="200" w:before="400" w:line="312"/>
      </w:pPr>
      <w:bookmarkStart w:id="100033" w:name="_Toc100033"/>
      <w:r>
        <w:rPr>
          <w:rFonts w:ascii="Calibri" w:eastAsia="SimHei"/>
          <w:b/>
          <w:bCs/>
          <w:color w:val="0E42D2"/>
          <w:sz w:val="32"/>
          <w:szCs w:val="32"/>
        </w:rPr>
        <w:t xml:space="preserve">8　服务体系与获取方式</w:t>
      </w:r>
      <w:bookmarkEnd w:id="100033"/>
    </w:p>
    <w:p>
      <w:pPr>
        <w:pStyle w:val="Heading2"/>
        <w:spacing w:after="140" w:before="280" w:line="312"/>
      </w:pPr>
      <w:bookmarkStart w:id="100034" w:name="_Toc100034"/>
      <w:r>
        <w:rPr>
          <w:rFonts w:ascii="Calibri" w:eastAsia="SimHei"/>
          <w:b/>
          <w:bCs/>
          <w:color w:val="0E42D2"/>
          <w:sz w:val="28"/>
          <w:szCs w:val="28"/>
        </w:rPr>
        <w:t xml:space="preserve">8.1　获取方式</w:t>
      </w:r>
      <w:bookmarkEnd w:id="100034"/>
    </w:p>
    <w:p>
      <w:pPr>
        <w:spacing w:after="80" w:line="312"/>
        <w:ind w:firstLine="480"/>
        <w:jc w:val="both"/>
      </w:pPr>
      <w:r>
        <w:rPr>
          <w:rFonts w:ascii="Calibri" w:eastAsia="Microsoft YaHei"/>
          <w:color w:val="000000"/>
          <w:sz w:val="24"/>
          <w:szCs w:val="24"/>
        </w:rPr>
        <w:t xml:space="preserve">企智通源代码完整托管于 GitHub（github.com/Gyv12345/qzt），MIT 协议开源：下载、部署、使用、修改、商用均免费，不限人数、不限时长。有技术能力的企业可以完全自助完成部署；希望省心的企业可以选择官方服务。</w:t>
      </w:r>
    </w:p>
    <w:p>
      <w:pPr>
        <w:pStyle w:val="Heading2"/>
        <w:spacing w:after="140" w:before="280" w:line="312"/>
      </w:pPr>
      <w:bookmarkStart w:id="100035" w:name="_Toc100035"/>
      <w:r>
        <w:rPr>
          <w:rFonts w:ascii="Calibri" w:eastAsia="SimHei"/>
          <w:b/>
          <w:bCs/>
          <w:color w:val="0E42D2"/>
          <w:sz w:val="28"/>
          <w:szCs w:val="28"/>
        </w:rPr>
        <w:t xml:space="preserve">8.2　服务与价格</w:t>
      </w:r>
      <w:bookmarkEnd w:id="100035"/>
    </w:p>
    <w:p>
      <w:pPr>
        <w:keepNext/>
        <w:spacing w:after="80" w:before="160" w:line="312"/>
        <w:jc w:val="center"/>
      </w:pPr>
      <w:r>
        <w:rPr>
          <w:rFonts w:ascii="Calibri" w:eastAsia="Microsoft YaHei"/>
          <w:b/>
          <w:bCs/>
          <w:color w:val="3D4A5C"/>
          <w:sz w:val="21"/>
          <w:szCs w:val="21"/>
        </w:rPr>
        <w:t xml:space="preserve">表 5　服务项目与价格</w:t>
      </w:r>
    </w:p>
    <w:tbl>
      <w:tblPr>
        <w:tblW w:type="pct" w:w="100%"/>
        <w:tblBorders>
          <w:top w:val="single" w:color="1677FF" w:sz="4"/>
          <w:left w:val="none" w:color="FFFFFF" w:sz="0"/>
          <w:bottom w:val="single" w:color="1677FF" w:sz="4"/>
          <w:right w:val="none" w:color="FFFFFF" w:sz="0"/>
          <w:insideH w:val="single" w:color="C9DCF9" w:sz="1"/>
          <w:insideV w:val="none" w:color="FFFFFF" w:sz="0"/>
        </w:tblBorders>
      </w:tblPr>
      <w:tblGrid>
        <w:gridCol w:w="100"/>
        <w:gridCol w:w="100"/>
        <w:gridCol w:w="100"/>
      </w:tblGrid>
      <w:tr>
        <w:trPr>
          <w:cantSplit/>
          <w:tblHeader/>
        </w:trPr>
        <w:tc>
          <w:tcPr>
            <w:tcW w:type="pct" w:w="20%"/>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项目</w:t>
            </w:r>
          </w:p>
        </w:tc>
        <w:tc>
          <w:tcPr>
            <w:tcW w:type="pct" w:w="26%"/>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费用</w:t>
            </w:r>
          </w:p>
        </w:tc>
        <w:tc>
          <w:tcPr>
            <w:tcW w:type="pct" w:w="54%"/>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包含内容</w:t>
            </w:r>
          </w:p>
        </w:tc>
      </w:tr>
      <w:tr>
        <w:trPr>
          <w:cantSplit/>
        </w:trPr>
        <w:tc>
          <w:tcPr>
            <w:tcW w:type="pct" w:w="20%"/>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软件本体</w:t>
            </w:r>
          </w:p>
        </w:tc>
        <w:tc>
          <w:tcPr>
            <w:tcW w:type="pct" w:w="26%"/>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开源免费（MIT）</w:t>
            </w:r>
          </w:p>
        </w:tc>
        <w:tc>
          <w:tcPr>
            <w:tcW w:type="pct" w:w="54%"/>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全部源码无保留开放，不限人数与使用时长</w:t>
            </w:r>
          </w:p>
        </w:tc>
      </w:tr>
      <w:tr>
        <w:trPr>
          <w:cantSplit/>
        </w:trPr>
        <w:tc>
          <w:tcPr>
            <w:tcW w:type="pct" w:w="20%"/>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交钥匙部署</w:t>
            </w:r>
          </w:p>
        </w:tc>
        <w:tc>
          <w:tcPr>
            <w:tcW w:type="pct" w:w="26%"/>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1000 元（一次性）</w:t>
            </w:r>
          </w:p>
        </w:tc>
        <w:tc>
          <w:tcPr>
            <w:tcW w:type="pct" w:w="54%"/>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部署到企业自有服务器：环境搭建、系统上线、基础使用培训</w:t>
            </w:r>
          </w:p>
        </w:tc>
      </w:tr>
      <w:tr>
        <w:trPr>
          <w:cantSplit/>
        </w:trPr>
        <w:tc>
          <w:tcPr>
            <w:tcW w:type="pct" w:w="20%"/>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二次开发</w:t>
            </w:r>
          </w:p>
        </w:tc>
        <w:tc>
          <w:tcPr>
            <w:tcW w:type="pct" w:w="26%"/>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500 元/天（5 天内）</w:t>
            </w:r>
          </w:p>
        </w:tc>
        <w:tc>
          <w:tcPr>
            <w:tcW w:type="pct" w:w="54%"/>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超过 5 天的部分 300 元/天，工期越长单价越优惠</w:t>
            </w:r>
          </w:p>
        </w:tc>
      </w:tr>
    </w:tbl>
    <w:p>
      <w:pPr>
        <w:pStyle w:val="Heading2"/>
        <w:spacing w:after="140" w:before="280" w:line="312"/>
      </w:pPr>
      <w:bookmarkStart w:id="100036" w:name="_Toc100036"/>
      <w:r>
        <w:rPr>
          <w:rFonts w:ascii="Calibri" w:eastAsia="SimHei"/>
          <w:b/>
          <w:bCs/>
          <w:color w:val="0E42D2"/>
          <w:sz w:val="28"/>
          <w:szCs w:val="28"/>
        </w:rPr>
        <w:t xml:space="preserve">8.3　适用场景</w:t>
      </w:r>
      <w:bookmarkEnd w:id="100036"/>
    </w:p>
    <w:p>
      <w:pPr>
        <w:spacing w:after="80" w:line="312"/>
        <w:ind w:firstLine="480"/>
        <w:jc w:val="both"/>
      </w:pPr>
      <w:r>
        <w:rPr>
          <w:rFonts w:ascii="Calibri" w:eastAsia="Microsoft YaHei"/>
          <w:color w:val="000000"/>
          <w:sz w:val="24"/>
          <w:szCs w:val="24"/>
        </w:rPr>
        <w:t xml:space="preserve">企智通适合 10 至 500 人规模、需要把客户、订单、库存、财务与内部协同放进同一套系统的中小企业，尤其适合贸易批发、工业品制造、专业服务等行业，以及所有希望业务数据掌握在自己手里的团队。已有 Excel 台账或多套零散工具的企业，可以按模块渐进式迁移：先上 CRM 与进销存，再启用财务与人事，避免一次性切换的业务震荡。</w:t>
      </w:r>
    </w:p>
    <w:p>
      <w:pPr>
        <w:pStyle w:val="Heading1"/>
        <w:spacing w:after="200" w:before="400" w:line="312"/>
      </w:pPr>
      <w:bookmarkStart w:id="100037" w:name="_Toc100037"/>
      <w:r>
        <w:rPr>
          <w:rFonts w:ascii="Calibri" w:eastAsia="SimHei"/>
          <w:b/>
          <w:bCs/>
          <w:color w:val="0E42D2"/>
          <w:sz w:val="32"/>
          <w:szCs w:val="32"/>
        </w:rPr>
        <w:t xml:space="preserve">关于我们</w:t>
      </w:r>
      <w:bookmarkEnd w:id="100037"/>
    </w:p>
    <w:p>
      <w:pPr>
        <w:spacing w:after="80" w:line="312"/>
        <w:ind w:firstLine="480"/>
        <w:jc w:val="both"/>
      </w:pPr>
      <w:r>
        <w:rPr>
          <w:rFonts w:ascii="Calibri" w:eastAsia="Microsoft YaHei"/>
          <w:color w:val="000000"/>
          <w:sz w:val="24"/>
          <w:szCs w:val="24"/>
        </w:rPr>
        <w:t xml:space="preserve">企智通由河南爱编程网络科技有限公司开发并持续维护，公司位于河南省洛阳市。我们相信中小企业值得拥有与大企业同等水准、但成本可控、数据自主的一体化业务系统，并以开源方式将其长期交付给社会。</w:t>
      </w:r>
    </w:p>
    <w:p>
      <w:pPr>
        <w:keepNext/>
        <w:spacing w:after="80" w:before="160" w:line="312"/>
        <w:jc w:val="center"/>
      </w:pPr>
      <w:r>
        <w:rPr>
          <w:rFonts w:ascii="Calibri" w:eastAsia="Microsoft YaHei"/>
          <w:b/>
          <w:bCs/>
          <w:color w:val="3D4A5C"/>
          <w:sz w:val="21"/>
          <w:szCs w:val="21"/>
        </w:rPr>
        <w:t xml:space="preserve">表 6　联系方式</w:t>
      </w:r>
    </w:p>
    <w:tbl>
      <w:tblPr>
        <w:tblW w:type="pct" w:w="100%"/>
        <w:tblBorders>
          <w:top w:val="single" w:color="1677FF" w:sz="4"/>
          <w:left w:val="none" w:color="FFFFFF" w:sz="0"/>
          <w:bottom w:val="single" w:color="1677FF" w:sz="4"/>
          <w:right w:val="none" w:color="FFFFFF" w:sz="0"/>
          <w:insideH w:val="single" w:color="C9DCF9" w:sz="1"/>
          <w:insideV w:val="none" w:color="FFFFFF" w:sz="0"/>
        </w:tblBorders>
      </w:tblPr>
      <w:tblGrid>
        <w:gridCol w:w="100"/>
        <w:gridCol w:w="100"/>
      </w:tblGrid>
      <w:tr>
        <w:trPr>
          <w:cantSplit/>
          <w:tblHeader/>
        </w:trPr>
        <w:tc>
          <w:tcPr>
            <w:tcW w:type="pct" w:w="24%"/>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渠道</w:t>
            </w:r>
          </w:p>
        </w:tc>
        <w:tc>
          <w:tcPr>
            <w:tcW w:type="pct" w:w="76%"/>
            <w:shd w:fill="1677FF" w:val="clear"/>
            <w:tcMar>
              <w:top w:type="dxa" w:w="80"/>
              <w:left w:type="dxa" w:w="120"/>
              <w:bottom w:type="dxa" w:w="80"/>
              <w:right w:type="dxa" w:w="120"/>
            </w:tcMar>
          </w:tcPr>
          <w:p>
            <w:pPr>
              <w:spacing w:line="276"/>
              <w:jc w:val="center"/>
            </w:pPr>
            <w:r>
              <w:rPr>
                <w:rFonts w:ascii="Calibri" w:eastAsia="Microsoft YaHei"/>
                <w:b/>
                <w:bCs/>
                <w:color w:val="FFFFFF"/>
                <w:sz w:val="21"/>
                <w:szCs w:val="21"/>
              </w:rPr>
              <w:t xml:space="preserve">信息</w:t>
            </w:r>
          </w:p>
        </w:tc>
      </w:tr>
      <w:tr>
        <w:trPr>
          <w:cantSplit/>
        </w:trPr>
        <w:tc>
          <w:tcPr>
            <w:tcW w:type="pct" w:w="24%"/>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官方网站</w:t>
            </w:r>
          </w:p>
        </w:tc>
        <w:tc>
          <w:tcPr>
            <w:tcW w:type="pct" w:w="76%"/>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https://devlovecode.com</w:t>
            </w:r>
          </w:p>
        </w:tc>
      </w:tr>
      <w:tr>
        <w:trPr>
          <w:cantSplit/>
        </w:trPr>
        <w:tc>
          <w:tcPr>
            <w:tcW w:type="pct" w:w="24%"/>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开源仓库</w:t>
            </w:r>
          </w:p>
        </w:tc>
        <w:tc>
          <w:tcPr>
            <w:tcW w:type="pct" w:w="76%"/>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https://github.com/Gyv12345/qzt</w:t>
            </w:r>
          </w:p>
        </w:tc>
      </w:tr>
      <w:tr>
        <w:trPr>
          <w:cantSplit/>
        </w:trPr>
        <w:tc>
          <w:tcPr>
            <w:tcW w:type="pct" w:w="24%"/>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商务电话</w:t>
            </w:r>
          </w:p>
        </w:tc>
        <w:tc>
          <w:tcPr>
            <w:tcW w:type="pct" w:w="76%"/>
            <w:shd w:fill="F0F6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15139960649（工作时间：周一至周五 9:00-18:00）</w:t>
            </w:r>
          </w:p>
        </w:tc>
      </w:tr>
      <w:tr>
        <w:trPr>
          <w:cantSplit/>
        </w:trPr>
        <w:tc>
          <w:tcPr>
            <w:tcW w:type="pct" w:w="24%"/>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商务邮箱</w:t>
            </w:r>
          </w:p>
        </w:tc>
        <w:tc>
          <w:tcPr>
            <w:tcW w:type="pct" w:w="76%"/>
            <w:shd w:fill="FFFFFF" w:val="clear"/>
            <w:tcMar>
              <w:top w:type="dxa" w:w="70"/>
              <w:left w:type="dxa" w:w="120"/>
              <w:bottom w:type="dxa" w:w="70"/>
              <w:right w:type="dxa" w:w="120"/>
            </w:tcMar>
          </w:tcPr>
          <w:p>
            <w:pPr>
              <w:spacing w:line="276"/>
              <w:jc w:val="left"/>
            </w:pPr>
            <w:r>
              <w:rPr>
                <w:rFonts w:ascii="Calibri" w:eastAsia="Microsoft YaHei"/>
                <w:b w:val="false"/>
                <w:bCs w:val="false"/>
                <w:color w:val="000000"/>
                <w:sz w:val="21"/>
                <w:szCs w:val="21"/>
              </w:rPr>
              <w:t xml:space="preserve">shichenyang@devlovecode.com</w:t>
            </w:r>
          </w:p>
        </w:tc>
      </w:tr>
    </w:tbl>
    <w:p>
      <w:pPr>
        <w:spacing w:after="0" w:line="312"/>
        <w:ind w:firstLine="480"/>
        <w:jc w:val="both"/>
      </w:pPr>
      <w:r>
        <w:rPr>
          <w:rFonts w:ascii="Calibri" w:eastAsia="Microsoft YaHei"/>
          <w:color w:val="000000"/>
          <w:sz w:val="24"/>
          <w:szCs w:val="24"/>
        </w:rPr>
        <w:t xml:space="preserve">本白皮书基于企智通 v1.1.0 版本编写，发布于 2026 年 9 月。产品功能随版本迭代持续更新，最新说明以官方文档站与开源仓库为准。</w:t>
      </w:r>
    </w:p>
    <w:sectPr>
      <w:headerReference w:type="default" r:id="rId8"/>
      <w:footerReference w:type="default" r:id="rId9"/>
      <w:type w:val="nextPage"/>
      <w:pgSz w:w="11906" w:h="16838" w:orient="portrait"/>
      <w:pgMar w:top="1440" w:right="1417" w:bottom="1440" w:left="1701" w:header="708" w:footer="708" w:gutter="0"/>
      <w:pgNumType w:start="1" w:fmt="decimal"/>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8"/>
        <w:szCs w:val="18"/>
      </w:rPr>
      <w:fldChar w:fldCharType="begin"/>
      <w:instrText xml:space="preserve"> PAGE \* ROMAN \* MERGEFORMAT </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8"/>
        <w:szCs w:val="18"/>
      </w:rPr>
      <w:fldChar w:fldCharType="begin"/>
      <w:instrText xml:space="preserve"> PAGE \* arabic \* MERGEFORMAT </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CF9" w:sz="2" w:space="4"/>
      </w:pBdr>
      <w:jc w:val="center"/>
    </w:pPr>
    <w:r>
      <w:rPr>
        <w:rFonts w:ascii="Calibri" w:eastAsia="Microsoft YaHei"/>
        <w:color w:val="8A94A6"/>
        <w:sz w:val="18"/>
        <w:szCs w:val="18"/>
      </w:rPr>
      <w:t xml:space="preserve">企智通企业业务管理平台 · 产品白皮书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icrosoft YaHei"/>
        <w:color w:val="000000"/>
        <w:sz w:val="24"/>
        <w:szCs w:val="24"/>
      </w:rPr>
    </w:rPrDefault>
    <w:pPrDefault>
      <w:pPr>
        <w:spacing w:line="312"/>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400" w:line="312"/>
      <w:outlineLvl w:val="0"/>
    </w:pPr>
    <w:rPr>
      <w:rFonts w:ascii="Calibri" w:eastAsia="SimHei"/>
      <w:b/>
      <w:bCs/>
      <w:color w:val="0E42D2"/>
      <w:sz w:val="32"/>
      <w:szCs w:val="32"/>
    </w:rPr>
  </w:style>
  <w:style w:type="paragraph" w:styleId="Heading2">
    <w:name w:val="Heading 2"/>
    <w:basedOn w:val="Normal"/>
    <w:next w:val="Normal"/>
    <w:qFormat/>
    <w:pPr>
      <w:spacing w:after="140" w:before="280" w:line="312"/>
      <w:outlineLvl w:val="1"/>
    </w:pPr>
    <w:rPr>
      <w:rFonts w:ascii="Calibri" w:eastAsia="SimHei"/>
      <w:b/>
      <w:bCs/>
      <w:color w:val="0E42D2"/>
      <w:sz w:val="28"/>
      <w:szCs w:val="28"/>
    </w:rPr>
  </w:style>
  <w:style w:type="paragraph" w:styleId="Heading3">
    <w:pPr>
      <w:outlineLvl w:val="2"/>
    </w:pPr>
    <w:name w:val="Heading 3"/>
    <w:basedOn w:val="Normal"/>
    <w:next w:val="Normal"/>
    <w:qFormat/>
    <w:rPr>
      <w:color w:val="1F4D78"/>
      <w:sz w:val="24"/>
      <w:szCs w:val="24"/>
    </w:rPr>
  </w:style>
  <w:style w:type="paragraph" w:styleId="Heading4">
    <w:pPr>
      <w:outlineLvl w:val="3"/>
    </w:pPr>
    <w:name w:val="Heading 4"/>
    <w:basedOn w:val="Normal"/>
    <w:next w:val="Normal"/>
    <w:qFormat/>
    <w:rPr>
      <w:i/>
      <w:iCs/>
      <w:color w:val="2E74B5"/>
    </w:rPr>
  </w:style>
  <w:style w:type="paragraph" w:styleId="Heading5">
    <w:pPr>
      <w:outlineLvl w:val="4"/>
    </w:pPr>
    <w:name w:val="Heading 5"/>
    <w:basedOn w:val="Normal"/>
    <w:next w:val="Normal"/>
    <w:qFormat/>
    <w:rPr>
      <w:color w:val="2E74B5"/>
    </w:rPr>
  </w:style>
  <w:style w:type="paragraph" w:styleId="Heading6">
    <w:pPr>
      <w:outlineLvl w:val="5"/>
    </w:pPr>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xmlns:w="http://schemas.openxmlformats.org/wordprocessingml/2006/main" w:type="paragraph" w:styleId="9">
    <w:name w:val="toc 1"/>
    <w:basedOn w:val="Normal"/>
    <w:uiPriority w:val="39"/>
    <w:pPr>
      <w:tabs>
        <w:tab w:val="right" w:leader="dot" w:pos="9026"/>
      </w:tabs>
      <w:spacing w:before="120" w:after="60"/>
    </w:pPr>
    <w:rPr>
      <w:b/>
      <w:bCs/>
    </w:rPr>
  </w:style>
  <w:style xmlns:w="http://schemas.openxmlformats.org/wordprocessingml/2006/main" w:type="paragraph" w:styleId="11">
    <w:name w:val="toc 2"/>
    <w:basedOn w:val="Normal"/>
    <w:uiPriority w:val="39"/>
    <w:pPr>
      <w:tabs>
        <w:tab w:val="right" w:leader="dot" w:pos="9026"/>
      </w:tabs>
      <w:ind w:left="360"/>
      <w:spacing w:before="60" w:after="40"/>
    </w:pPr>
  </w:style>
  <w:style xmlns:w="http://schemas.openxmlformats.org/wordprocessingml/2006/main" w:type="paragraph" w:styleId="12">
    <w:name w:val="toc 3"/>
    <w:basedOn w:val="Normal"/>
    <w:uiPriority w:val="39"/>
    <w:pPr>
      <w:tabs>
        <w:tab w:val="right" w:leader="dot" w:pos="9026"/>
      </w:tabs>
      <w:ind w:left="720"/>
      <w:spacing w:before="40" w:after="20"/>
    </w:p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header" Target="header1.xml"/><Relationship Id="rId9" Type="http://schemas.openxmlformats.org/officeDocument/2006/relationships/footer" Target="footer2.xml"/><Relationship Id="rId10" Type="http://schemas.openxmlformats.org/officeDocument/2006/relationships/image" Target="media/93b4fff9d85d370677d27719fcc5bafbc73e47d8.jpg"/><Relationship Id="rId11" Type="http://schemas.openxmlformats.org/officeDocument/2006/relationships/image" Target="media/5f0f80f48072b1e6849c49569c494f87d4124e59.jpg"/><Relationship Id="rId12" Type="http://schemas.openxmlformats.org/officeDocument/2006/relationships/image" Target="media/42051094cdd47d2184514ce80a726df6f42a72e6.jpg"/><Relationship Id="rId13" Type="http://schemas.openxmlformats.org/officeDocument/2006/relationships/image" Target="media/435a4017e19a0bd45e0769731436b687ddd259b8.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企智通企业业务管理平台产品白皮书</dc:title>
  <dc:creator>河南爱编程网络科技有限公司</dc:creator>
  <cp:lastModifiedBy>Un-named</cp:lastModifiedBy>
  <cp:revision>1</cp:revision>
  <dcterms:created xsi:type="dcterms:W3CDTF">2026-09-07T12:37:16.565Z</dcterms:created>
  <dcterms:modified xsi:type="dcterms:W3CDTF">2026-09-07T12:37:16.566Z</dcterms:modified>
</cp:coreProperties>
</file>

<file path=docProps/custom.xml><?xml version="1.0" encoding="utf-8"?>
<Properties xmlns="http://schemas.openxmlformats.org/officeDocument/2006/custom-properties" xmlns:vt="http://schemas.openxmlformats.org/officeDocument/2006/docPropsVTypes"/>
</file>